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9A89" w14:textId="49F8EE7E" w:rsidR="00182FC2" w:rsidRPr="00182FC2" w:rsidRDefault="00182FC2">
      <w:pPr>
        <w:rPr>
          <w:rFonts w:ascii="Calibri" w:hAnsi="Calibri" w:cs="Calibri"/>
          <w:b/>
          <w:bCs/>
          <w:sz w:val="24"/>
          <w:szCs w:val="24"/>
        </w:rPr>
      </w:pPr>
      <w:r w:rsidRPr="00182FC2">
        <w:rPr>
          <w:rFonts w:ascii="Calibri" w:hAnsi="Calibri" w:cs="Calibri"/>
          <w:b/>
          <w:bCs/>
          <w:sz w:val="24"/>
          <w:szCs w:val="24"/>
        </w:rPr>
        <w:t xml:space="preserve">Profylax och behandling av Toxoplasma efter allogen stamcellstransplantation </w:t>
      </w:r>
      <w:r w:rsidR="00472742">
        <w:rPr>
          <w:rFonts w:ascii="Calibri" w:hAnsi="Calibri" w:cs="Calibri"/>
          <w:b/>
          <w:bCs/>
          <w:sz w:val="24"/>
          <w:szCs w:val="24"/>
        </w:rPr>
        <w:t xml:space="preserve">och </w:t>
      </w:r>
      <w:r w:rsidR="00791677">
        <w:rPr>
          <w:rFonts w:ascii="Calibri" w:hAnsi="Calibri" w:cs="Calibri"/>
          <w:b/>
          <w:bCs/>
          <w:sz w:val="24"/>
          <w:szCs w:val="24"/>
        </w:rPr>
        <w:t>organtransplantation</w:t>
      </w:r>
    </w:p>
    <w:p w14:paraId="33BF0532" w14:textId="03A78D5D" w:rsidR="00182FC2" w:rsidRDefault="00182FC2">
      <w:pPr>
        <w:rPr>
          <w:sz w:val="24"/>
          <w:szCs w:val="24"/>
        </w:rPr>
      </w:pPr>
      <w:r w:rsidRPr="00182FC2">
        <w:rPr>
          <w:sz w:val="24"/>
          <w:szCs w:val="24"/>
        </w:rPr>
        <w:t>2023-0</w:t>
      </w:r>
      <w:r w:rsidR="00237CBF">
        <w:rPr>
          <w:sz w:val="24"/>
          <w:szCs w:val="24"/>
        </w:rPr>
        <w:t>4-28</w:t>
      </w:r>
      <w:r w:rsidR="001B1C78">
        <w:rPr>
          <w:sz w:val="24"/>
          <w:szCs w:val="24"/>
        </w:rPr>
        <w:t xml:space="preserve"> Ola Blennow</w:t>
      </w:r>
    </w:p>
    <w:p w14:paraId="0FFE3B18" w14:textId="77777777" w:rsidR="003554DD" w:rsidRPr="00182FC2" w:rsidRDefault="003554DD">
      <w:pPr>
        <w:rPr>
          <w:sz w:val="24"/>
          <w:szCs w:val="24"/>
        </w:rPr>
      </w:pPr>
    </w:p>
    <w:p w14:paraId="13AFD24F" w14:textId="2A413137" w:rsidR="00182FC2" w:rsidRPr="00FE0A96" w:rsidRDefault="00182FC2">
      <w:pPr>
        <w:rPr>
          <w:b/>
          <w:bCs/>
          <w:sz w:val="24"/>
          <w:szCs w:val="24"/>
        </w:rPr>
      </w:pPr>
      <w:r w:rsidRPr="00182FC2">
        <w:rPr>
          <w:sz w:val="24"/>
          <w:szCs w:val="24"/>
        </w:rPr>
        <w:t>Dosering är angiven för normal njurfunktion. Överväga att mäta sulfakoncentration vid behandling, i första hand för att undvika toxicitet.</w:t>
      </w:r>
      <w:r w:rsidR="005D024B">
        <w:rPr>
          <w:sz w:val="24"/>
          <w:szCs w:val="24"/>
        </w:rPr>
        <w:t xml:space="preserve"> Vid behandling med </w:t>
      </w:r>
      <w:proofErr w:type="spellStart"/>
      <w:r w:rsidR="00B41F6B">
        <w:rPr>
          <w:sz w:val="24"/>
          <w:szCs w:val="24"/>
        </w:rPr>
        <w:t>dapson</w:t>
      </w:r>
      <w:proofErr w:type="spellEnd"/>
      <w:r w:rsidR="00B41F6B">
        <w:rPr>
          <w:sz w:val="24"/>
          <w:szCs w:val="24"/>
        </w:rPr>
        <w:t xml:space="preserve"> bör</w:t>
      </w:r>
      <w:r w:rsidR="008067E6" w:rsidRPr="008067E6">
        <w:t xml:space="preserve"> </w:t>
      </w:r>
      <w:r w:rsidR="008067E6" w:rsidRPr="008067E6">
        <w:rPr>
          <w:sz w:val="24"/>
          <w:szCs w:val="24"/>
        </w:rPr>
        <w:t>glukos-6-fosfat-dehydrogenas</w:t>
      </w:r>
      <w:r w:rsidR="008067E6">
        <w:rPr>
          <w:sz w:val="24"/>
          <w:szCs w:val="24"/>
        </w:rPr>
        <w:t xml:space="preserve"> </w:t>
      </w:r>
      <w:r w:rsidR="008067E6" w:rsidRPr="008067E6">
        <w:rPr>
          <w:sz w:val="24"/>
          <w:szCs w:val="24"/>
        </w:rPr>
        <w:t>kontrolleras (G</w:t>
      </w:r>
      <w:r w:rsidR="008067E6">
        <w:rPr>
          <w:sz w:val="24"/>
          <w:szCs w:val="24"/>
        </w:rPr>
        <w:t>-</w:t>
      </w:r>
      <w:r w:rsidR="008067E6" w:rsidRPr="008067E6">
        <w:rPr>
          <w:sz w:val="24"/>
          <w:szCs w:val="24"/>
        </w:rPr>
        <w:t>6P</w:t>
      </w:r>
      <w:r w:rsidR="008067E6">
        <w:rPr>
          <w:sz w:val="24"/>
          <w:szCs w:val="24"/>
        </w:rPr>
        <w:t>D</w:t>
      </w:r>
      <w:r w:rsidR="008067E6" w:rsidRPr="008067E6">
        <w:rPr>
          <w:sz w:val="24"/>
          <w:szCs w:val="24"/>
        </w:rPr>
        <w:t>)</w:t>
      </w:r>
      <w:r w:rsidR="008067E6">
        <w:rPr>
          <w:sz w:val="24"/>
          <w:szCs w:val="24"/>
        </w:rPr>
        <w:t xml:space="preserve"> </w:t>
      </w:r>
      <w:r w:rsidR="008067E6" w:rsidRPr="008067E6">
        <w:rPr>
          <w:sz w:val="24"/>
          <w:szCs w:val="24"/>
        </w:rPr>
        <w:t>eftersom</w:t>
      </w:r>
      <w:r w:rsidR="008067E6">
        <w:rPr>
          <w:sz w:val="24"/>
          <w:szCs w:val="24"/>
        </w:rPr>
        <w:t xml:space="preserve"> det finns risk för allvarlig </w:t>
      </w:r>
      <w:proofErr w:type="spellStart"/>
      <w:r w:rsidR="008067E6">
        <w:rPr>
          <w:sz w:val="24"/>
          <w:szCs w:val="24"/>
        </w:rPr>
        <w:t>hemolys</w:t>
      </w:r>
      <w:proofErr w:type="spellEnd"/>
      <w:r w:rsidR="008067E6">
        <w:rPr>
          <w:sz w:val="24"/>
          <w:szCs w:val="24"/>
        </w:rPr>
        <w:t xml:space="preserve"> hos patienter med brist på detta enzym.</w:t>
      </w:r>
    </w:p>
    <w:p w14:paraId="0844E2E3" w14:textId="77777777" w:rsidR="00182FC2" w:rsidRPr="00182FC2" w:rsidRDefault="00182FC2">
      <w:pPr>
        <w:rPr>
          <w:sz w:val="24"/>
          <w:szCs w:val="24"/>
        </w:rPr>
      </w:pPr>
    </w:p>
    <w:p w14:paraId="6231717D" w14:textId="77777777" w:rsidR="00182FC2" w:rsidRPr="00C86DA4" w:rsidRDefault="00182FC2">
      <w:pPr>
        <w:rPr>
          <w:sz w:val="24"/>
          <w:szCs w:val="24"/>
        </w:rPr>
      </w:pPr>
      <w:r w:rsidRPr="00C86DA4">
        <w:rPr>
          <w:b/>
          <w:bCs/>
          <w:sz w:val="24"/>
          <w:szCs w:val="24"/>
        </w:rPr>
        <w:t>Allmänt:</w:t>
      </w:r>
      <w:r w:rsidRPr="00C86DA4">
        <w:rPr>
          <w:sz w:val="24"/>
          <w:szCs w:val="24"/>
        </w:rPr>
        <w:t xml:space="preserve"> </w:t>
      </w:r>
    </w:p>
    <w:p w14:paraId="3F746C1F" w14:textId="06624AD2" w:rsidR="00182FC2" w:rsidRDefault="00182FC2">
      <w:pPr>
        <w:rPr>
          <w:sz w:val="24"/>
          <w:szCs w:val="24"/>
        </w:rPr>
      </w:pPr>
      <w:r w:rsidRPr="00182FC2">
        <w:rPr>
          <w:sz w:val="24"/>
          <w:szCs w:val="24"/>
        </w:rPr>
        <w:t xml:space="preserve">Generellt finns det lite data om doser och preparatval till immunsupprimerade annat än vid HIV. Data kommer </w:t>
      </w:r>
      <w:r w:rsidR="002B70BE">
        <w:rPr>
          <w:sz w:val="24"/>
          <w:szCs w:val="24"/>
        </w:rPr>
        <w:t>mestadels</w:t>
      </w:r>
      <w:r w:rsidR="002B70BE" w:rsidRPr="00182FC2">
        <w:rPr>
          <w:sz w:val="24"/>
          <w:szCs w:val="24"/>
        </w:rPr>
        <w:t xml:space="preserve"> </w:t>
      </w:r>
      <w:r w:rsidRPr="00182FC2">
        <w:rPr>
          <w:sz w:val="24"/>
          <w:szCs w:val="24"/>
        </w:rPr>
        <w:t xml:space="preserve">från </w:t>
      </w:r>
      <w:proofErr w:type="spellStart"/>
      <w:r w:rsidRPr="00182FC2">
        <w:rPr>
          <w:sz w:val="24"/>
          <w:szCs w:val="24"/>
        </w:rPr>
        <w:t>fallserier</w:t>
      </w:r>
      <w:proofErr w:type="spellEnd"/>
      <w:r w:rsidRPr="00182FC2">
        <w:rPr>
          <w:sz w:val="24"/>
          <w:szCs w:val="24"/>
        </w:rPr>
        <w:t xml:space="preserve">, ofta retrospektivt från ett center. Avseende strategin att </w:t>
      </w:r>
      <w:proofErr w:type="spellStart"/>
      <w:r w:rsidR="002B70BE">
        <w:rPr>
          <w:sz w:val="24"/>
          <w:szCs w:val="24"/>
        </w:rPr>
        <w:t>monitorera</w:t>
      </w:r>
      <w:proofErr w:type="spellEnd"/>
      <w:r w:rsidR="002B70BE" w:rsidRPr="00182FC2">
        <w:rPr>
          <w:sz w:val="24"/>
          <w:szCs w:val="24"/>
        </w:rPr>
        <w:t xml:space="preserve"> </w:t>
      </w:r>
      <w:r w:rsidRPr="00182FC2">
        <w:rPr>
          <w:sz w:val="24"/>
          <w:szCs w:val="24"/>
        </w:rPr>
        <w:t>med PCR</w:t>
      </w:r>
      <w:r w:rsidR="002B70BE">
        <w:rPr>
          <w:sz w:val="24"/>
          <w:szCs w:val="24"/>
        </w:rPr>
        <w:t xml:space="preserve"> i plasma</w:t>
      </w:r>
      <w:r w:rsidRPr="00182FC2">
        <w:rPr>
          <w:sz w:val="24"/>
          <w:szCs w:val="24"/>
        </w:rPr>
        <w:t xml:space="preserve"> i</w:t>
      </w:r>
      <w:r w:rsidR="005D024B">
        <w:rPr>
          <w:sz w:val="24"/>
          <w:szCs w:val="24"/>
        </w:rPr>
        <w:t xml:space="preserve"> </w:t>
      </w:r>
      <w:r w:rsidRPr="00182FC2">
        <w:rPr>
          <w:sz w:val="24"/>
          <w:szCs w:val="24"/>
        </w:rPr>
        <w:t>stället för att ge profylax finns det</w:t>
      </w:r>
      <w:r w:rsidR="003554DD">
        <w:rPr>
          <w:sz w:val="24"/>
          <w:szCs w:val="24"/>
        </w:rPr>
        <w:t xml:space="preserve"> </w:t>
      </w:r>
      <w:r w:rsidRPr="00182FC2">
        <w:rPr>
          <w:sz w:val="24"/>
          <w:szCs w:val="24"/>
        </w:rPr>
        <w:t xml:space="preserve">data i form av en prospektiv </w:t>
      </w:r>
      <w:r w:rsidR="003554DD" w:rsidRPr="00182FC2">
        <w:rPr>
          <w:sz w:val="24"/>
          <w:szCs w:val="24"/>
        </w:rPr>
        <w:t>kohortstudie</w:t>
      </w:r>
      <w:r w:rsidRPr="00182FC2">
        <w:rPr>
          <w:sz w:val="24"/>
          <w:szCs w:val="24"/>
        </w:rPr>
        <w:t xml:space="preserve"> </w:t>
      </w:r>
      <w:r w:rsidR="003554DD">
        <w:rPr>
          <w:sz w:val="24"/>
          <w:szCs w:val="24"/>
        </w:rPr>
        <w:t xml:space="preserve">samt </w:t>
      </w:r>
      <w:r w:rsidRPr="00182FC2">
        <w:rPr>
          <w:sz w:val="24"/>
          <w:szCs w:val="24"/>
        </w:rPr>
        <w:t>några större retrospektiva studier (Martino, Robert-</w:t>
      </w:r>
      <w:proofErr w:type="spellStart"/>
      <w:r w:rsidRPr="00182FC2">
        <w:rPr>
          <w:sz w:val="24"/>
          <w:szCs w:val="24"/>
        </w:rPr>
        <w:t>Gangneux</w:t>
      </w:r>
      <w:proofErr w:type="spellEnd"/>
      <w:r>
        <w:rPr>
          <w:sz w:val="24"/>
          <w:szCs w:val="24"/>
        </w:rPr>
        <w:t>)</w:t>
      </w:r>
      <w:r w:rsidRPr="00182FC2">
        <w:rPr>
          <w:sz w:val="24"/>
          <w:szCs w:val="24"/>
        </w:rPr>
        <w:t>.</w:t>
      </w:r>
      <w:r w:rsidR="002B70BE">
        <w:rPr>
          <w:sz w:val="24"/>
          <w:szCs w:val="24"/>
        </w:rPr>
        <w:t xml:space="preserve"> </w:t>
      </w:r>
      <w:r w:rsidR="002B70BE">
        <w:rPr>
          <w:sz w:val="24"/>
          <w:szCs w:val="24"/>
        </w:rPr>
        <w:t>I</w:t>
      </w:r>
      <w:r w:rsidR="002B70BE" w:rsidRPr="00182FC2">
        <w:rPr>
          <w:sz w:val="24"/>
          <w:szCs w:val="24"/>
        </w:rPr>
        <w:t xml:space="preserve"> den största studien blev 14 av 58 </w:t>
      </w:r>
      <w:proofErr w:type="spellStart"/>
      <w:r w:rsidR="002B70BE" w:rsidRPr="00182FC2">
        <w:rPr>
          <w:sz w:val="24"/>
          <w:szCs w:val="24"/>
        </w:rPr>
        <w:t>seropositiva</w:t>
      </w:r>
      <w:proofErr w:type="spellEnd"/>
      <w:r w:rsidR="002B70BE" w:rsidRPr="00182FC2">
        <w:rPr>
          <w:sz w:val="24"/>
          <w:szCs w:val="24"/>
        </w:rPr>
        <w:t xml:space="preserve"> patienter som inte fick trimsulfa PCR-positiva, av dessa utvecklade 6 patienter invasiv sjukdom, varav 2 samtidigt som första positiva PCR-provet (Martino).</w:t>
      </w:r>
      <w:r w:rsidRPr="00182FC2">
        <w:rPr>
          <w:sz w:val="24"/>
          <w:szCs w:val="24"/>
        </w:rPr>
        <w:t xml:space="preserve"> Det saknas även data avseende tidslängd av behandling och sekundärprofylax.</w:t>
      </w:r>
    </w:p>
    <w:p w14:paraId="309E0312" w14:textId="77777777" w:rsidR="00182FC2" w:rsidRPr="00C86DA4" w:rsidRDefault="00182FC2">
      <w:pPr>
        <w:rPr>
          <w:sz w:val="24"/>
          <w:szCs w:val="24"/>
        </w:rPr>
      </w:pPr>
    </w:p>
    <w:p w14:paraId="503DCCFF" w14:textId="77777777" w:rsidR="00182FC2" w:rsidRPr="00C86DA4" w:rsidRDefault="00182FC2">
      <w:pPr>
        <w:rPr>
          <w:sz w:val="24"/>
          <w:szCs w:val="24"/>
        </w:rPr>
      </w:pPr>
      <w:r w:rsidRPr="00C86DA4">
        <w:rPr>
          <w:b/>
          <w:bCs/>
          <w:sz w:val="24"/>
          <w:szCs w:val="24"/>
        </w:rPr>
        <w:t>Primär profylax:</w:t>
      </w:r>
      <w:r w:rsidRPr="00C86DA4">
        <w:rPr>
          <w:sz w:val="24"/>
          <w:szCs w:val="24"/>
        </w:rPr>
        <w:t xml:space="preserve"> </w:t>
      </w:r>
    </w:p>
    <w:p w14:paraId="71E20BA5" w14:textId="03DD01A1" w:rsidR="00B41F6B" w:rsidRPr="00B41F6B" w:rsidRDefault="00182FC2" w:rsidP="00B41F6B">
      <w:pPr>
        <w:rPr>
          <w:sz w:val="24"/>
          <w:szCs w:val="24"/>
          <w:u w:val="single"/>
        </w:rPr>
      </w:pPr>
      <w:proofErr w:type="spellStart"/>
      <w:r w:rsidRPr="00B41F6B">
        <w:rPr>
          <w:sz w:val="24"/>
          <w:szCs w:val="24"/>
          <w:u w:val="single"/>
        </w:rPr>
        <w:t>IgG</w:t>
      </w:r>
      <w:proofErr w:type="spellEnd"/>
      <w:r w:rsidR="002B70BE">
        <w:rPr>
          <w:sz w:val="24"/>
          <w:szCs w:val="24"/>
          <w:u w:val="single"/>
        </w:rPr>
        <w:t>-</w:t>
      </w:r>
      <w:r w:rsidRPr="00B41F6B">
        <w:rPr>
          <w:sz w:val="24"/>
          <w:szCs w:val="24"/>
          <w:u w:val="single"/>
        </w:rPr>
        <w:t>positiva patienter som genomgått allogen stamcellstransplantatio</w:t>
      </w:r>
      <w:r w:rsidR="00B41F6B" w:rsidRPr="00B41F6B">
        <w:rPr>
          <w:sz w:val="24"/>
          <w:szCs w:val="24"/>
          <w:u w:val="single"/>
        </w:rPr>
        <w:t>n:</w:t>
      </w:r>
    </w:p>
    <w:p w14:paraId="11CF730A" w14:textId="5FE97B85" w:rsidR="00B41F6B" w:rsidRDefault="00B41F6B">
      <w:pPr>
        <w:rPr>
          <w:sz w:val="24"/>
          <w:szCs w:val="24"/>
        </w:rPr>
      </w:pPr>
      <w:bookmarkStart w:id="0" w:name="_Hlk128137481"/>
      <w:r>
        <w:rPr>
          <w:sz w:val="24"/>
          <w:szCs w:val="24"/>
        </w:rPr>
        <w:t>Generellt gäller att p</w:t>
      </w:r>
      <w:r w:rsidRPr="005D024B">
        <w:rPr>
          <w:sz w:val="24"/>
          <w:szCs w:val="24"/>
        </w:rPr>
        <w:t>rofylax skall sättas in så snart som möjligt efter transplantation</w:t>
      </w:r>
      <w:r>
        <w:rPr>
          <w:sz w:val="24"/>
          <w:szCs w:val="24"/>
        </w:rPr>
        <w:t xml:space="preserve">. </w:t>
      </w:r>
      <w:bookmarkEnd w:id="0"/>
      <w:r>
        <w:rPr>
          <w:sz w:val="24"/>
          <w:szCs w:val="24"/>
        </w:rPr>
        <w:t>Eftersom förstahandsvalet, trimsulfa</w:t>
      </w:r>
      <w:r w:rsidR="002B70BE">
        <w:rPr>
          <w:sz w:val="24"/>
          <w:szCs w:val="24"/>
        </w:rPr>
        <w:t>,</w:t>
      </w:r>
      <w:r>
        <w:rPr>
          <w:sz w:val="24"/>
          <w:szCs w:val="24"/>
        </w:rPr>
        <w:t xml:space="preserve"> kan vara benmärgstoxiskt kan man avvakta tills </w:t>
      </w:r>
      <w:proofErr w:type="spellStart"/>
      <w:r>
        <w:rPr>
          <w:sz w:val="24"/>
          <w:szCs w:val="24"/>
        </w:rPr>
        <w:t>neutropenifasen</w:t>
      </w:r>
      <w:proofErr w:type="spellEnd"/>
      <w:r>
        <w:rPr>
          <w:sz w:val="24"/>
          <w:szCs w:val="24"/>
        </w:rPr>
        <w:t xml:space="preserve"> är över</w:t>
      </w:r>
      <w:r w:rsidR="002B70B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B70BE">
        <w:rPr>
          <w:sz w:val="24"/>
          <w:szCs w:val="24"/>
        </w:rPr>
        <w:t xml:space="preserve">Om denna </w:t>
      </w:r>
      <w:r>
        <w:rPr>
          <w:sz w:val="24"/>
          <w:szCs w:val="24"/>
        </w:rPr>
        <w:t>skulle bli långdragen får man överväga att överbrygga med annat profylaxpreparat. Efter allogen stamcellstransplantation har r</w:t>
      </w:r>
      <w:r w:rsidR="00182FC2" w:rsidRPr="00182FC2">
        <w:rPr>
          <w:sz w:val="24"/>
          <w:szCs w:val="24"/>
        </w:rPr>
        <w:t>eaktivering vanligen skett inom 3 månader</w:t>
      </w:r>
      <w:r>
        <w:rPr>
          <w:sz w:val="24"/>
          <w:szCs w:val="24"/>
        </w:rPr>
        <w:t>,</w:t>
      </w:r>
      <w:r w:rsidR="00182FC2" w:rsidRPr="00182FC2">
        <w:rPr>
          <w:sz w:val="24"/>
          <w:szCs w:val="24"/>
        </w:rPr>
        <w:t xml:space="preserve"> och i princip alltid inom 6 månader</w:t>
      </w:r>
      <w:r>
        <w:rPr>
          <w:sz w:val="24"/>
          <w:szCs w:val="24"/>
        </w:rPr>
        <w:t>,</w:t>
      </w:r>
      <w:r w:rsidRPr="00B41F6B">
        <w:rPr>
          <w:sz w:val="24"/>
          <w:szCs w:val="24"/>
        </w:rPr>
        <w:t xml:space="preserve"> </w:t>
      </w:r>
      <w:r w:rsidRPr="00182FC2">
        <w:rPr>
          <w:sz w:val="24"/>
          <w:szCs w:val="24"/>
        </w:rPr>
        <w:t>hos patienter utan profylax</w:t>
      </w:r>
      <w:r w:rsidR="00182FC2" w:rsidRPr="00182FC2">
        <w:rPr>
          <w:sz w:val="24"/>
          <w:szCs w:val="24"/>
        </w:rPr>
        <w:t xml:space="preserve">. Duration bör därför vara minst 6 månader, längre om pågående </w:t>
      </w:r>
      <w:proofErr w:type="spellStart"/>
      <w:r w:rsidR="00182FC2" w:rsidRPr="00182FC2">
        <w:rPr>
          <w:sz w:val="24"/>
          <w:szCs w:val="24"/>
        </w:rPr>
        <w:t>immunsuppression</w:t>
      </w:r>
      <w:proofErr w:type="spellEnd"/>
      <w:r w:rsidR="00182FC2" w:rsidRPr="00182FC2">
        <w:rPr>
          <w:sz w:val="24"/>
          <w:szCs w:val="24"/>
        </w:rPr>
        <w:t xml:space="preserve">, GVHD, eller </w:t>
      </w:r>
      <w:proofErr w:type="spellStart"/>
      <w:r w:rsidR="00182FC2" w:rsidRPr="00182FC2">
        <w:rPr>
          <w:sz w:val="24"/>
          <w:szCs w:val="24"/>
        </w:rPr>
        <w:t>neutropeni</w:t>
      </w:r>
      <w:proofErr w:type="spellEnd"/>
      <w:r w:rsidR="00182FC2" w:rsidRPr="00182FC2">
        <w:rPr>
          <w:sz w:val="24"/>
          <w:szCs w:val="24"/>
        </w:rPr>
        <w:t>.</w:t>
      </w:r>
    </w:p>
    <w:p w14:paraId="101A3E96" w14:textId="77777777" w:rsidR="00B41F6B" w:rsidRDefault="00B41F6B" w:rsidP="00B41F6B">
      <w:pPr>
        <w:rPr>
          <w:sz w:val="24"/>
          <w:szCs w:val="24"/>
          <w:u w:val="single"/>
        </w:rPr>
      </w:pPr>
    </w:p>
    <w:p w14:paraId="0250C924" w14:textId="255A3118" w:rsidR="00B41F6B" w:rsidRDefault="00B41F6B" w:rsidP="00B41F6B">
      <w:pPr>
        <w:rPr>
          <w:sz w:val="24"/>
          <w:szCs w:val="24"/>
          <w:u w:val="single"/>
        </w:rPr>
      </w:pPr>
      <w:r w:rsidRPr="00B41F6B">
        <w:rPr>
          <w:sz w:val="24"/>
          <w:szCs w:val="24"/>
          <w:u w:val="single"/>
        </w:rPr>
        <w:t xml:space="preserve">Hjärttransplanterade patienter som är </w:t>
      </w:r>
      <w:proofErr w:type="spellStart"/>
      <w:r w:rsidRPr="00B41F6B">
        <w:rPr>
          <w:sz w:val="24"/>
          <w:szCs w:val="24"/>
          <w:u w:val="single"/>
        </w:rPr>
        <w:t>IgG</w:t>
      </w:r>
      <w:proofErr w:type="spellEnd"/>
      <w:r w:rsidRPr="00B41F6B">
        <w:rPr>
          <w:sz w:val="24"/>
          <w:szCs w:val="24"/>
          <w:u w:val="single"/>
        </w:rPr>
        <w:t xml:space="preserve">-negativa och som får organ från en </w:t>
      </w:r>
      <w:proofErr w:type="spellStart"/>
      <w:r w:rsidRPr="00B41F6B">
        <w:rPr>
          <w:sz w:val="24"/>
          <w:szCs w:val="24"/>
          <w:u w:val="single"/>
        </w:rPr>
        <w:t>IgG</w:t>
      </w:r>
      <w:proofErr w:type="spellEnd"/>
      <w:r w:rsidRPr="00B41F6B">
        <w:rPr>
          <w:sz w:val="24"/>
          <w:szCs w:val="24"/>
          <w:u w:val="single"/>
        </w:rPr>
        <w:t>-positiv donator</w:t>
      </w:r>
      <w:r>
        <w:rPr>
          <w:sz w:val="24"/>
          <w:szCs w:val="24"/>
          <w:u w:val="single"/>
        </w:rPr>
        <w:t>:</w:t>
      </w:r>
    </w:p>
    <w:p w14:paraId="30D316DF" w14:textId="1363C595" w:rsidR="00182FC2" w:rsidRDefault="00B41F6B">
      <w:pPr>
        <w:rPr>
          <w:sz w:val="24"/>
          <w:szCs w:val="24"/>
        </w:rPr>
      </w:pPr>
      <w:r w:rsidRPr="00B41F6B">
        <w:rPr>
          <w:sz w:val="24"/>
          <w:szCs w:val="24"/>
        </w:rPr>
        <w:t xml:space="preserve">Hos organtransplanterade finns risk för donatoröverförd </w:t>
      </w:r>
      <w:proofErr w:type="spellStart"/>
      <w:r w:rsidR="00237CBF">
        <w:rPr>
          <w:sz w:val="24"/>
          <w:szCs w:val="24"/>
        </w:rPr>
        <w:t>t</w:t>
      </w:r>
      <w:r w:rsidRPr="00B41F6B">
        <w:rPr>
          <w:sz w:val="24"/>
          <w:szCs w:val="24"/>
        </w:rPr>
        <w:t>oxoplasmainfektion</w:t>
      </w:r>
      <w:proofErr w:type="spellEnd"/>
      <w:r w:rsidRPr="00B41F6B">
        <w:rPr>
          <w:sz w:val="24"/>
          <w:szCs w:val="24"/>
        </w:rPr>
        <w:t xml:space="preserve"> om donatorn är </w:t>
      </w:r>
      <w:proofErr w:type="spellStart"/>
      <w:r w:rsidRPr="00B41F6B">
        <w:rPr>
          <w:sz w:val="24"/>
          <w:szCs w:val="24"/>
        </w:rPr>
        <w:t>IgG</w:t>
      </w:r>
      <w:proofErr w:type="spellEnd"/>
      <w:r w:rsidRPr="00B41F6B">
        <w:rPr>
          <w:sz w:val="24"/>
          <w:szCs w:val="24"/>
        </w:rPr>
        <w:t xml:space="preserve">-positiv och recipienten är </w:t>
      </w:r>
      <w:proofErr w:type="spellStart"/>
      <w:r w:rsidRPr="00B41F6B">
        <w:rPr>
          <w:sz w:val="24"/>
          <w:szCs w:val="24"/>
        </w:rPr>
        <w:t>IgG</w:t>
      </w:r>
      <w:proofErr w:type="spellEnd"/>
      <w:r w:rsidRPr="00B41F6B">
        <w:rPr>
          <w:sz w:val="24"/>
          <w:szCs w:val="24"/>
        </w:rPr>
        <w:t xml:space="preserve">-negativ. Denna risk är stor (25-75%) vid </w:t>
      </w:r>
      <w:r w:rsidRPr="00B41F6B">
        <w:rPr>
          <w:sz w:val="24"/>
          <w:szCs w:val="24"/>
        </w:rPr>
        <w:lastRenderedPageBreak/>
        <w:t xml:space="preserve">hjärttransplantation eftersom cystor av Toxoplasma kan finnas i hjärtmuskelceller vid latent infektion, medan risken är låg vid transplantation av andra organ. Likaså är risken för reaktivering av </w:t>
      </w:r>
      <w:proofErr w:type="spellStart"/>
      <w:r w:rsidRPr="00B41F6B">
        <w:rPr>
          <w:sz w:val="24"/>
          <w:szCs w:val="24"/>
        </w:rPr>
        <w:t>toxoplasmos</w:t>
      </w:r>
      <w:proofErr w:type="spellEnd"/>
      <w:r w:rsidRPr="00B41F6B">
        <w:rPr>
          <w:sz w:val="24"/>
          <w:szCs w:val="24"/>
        </w:rPr>
        <w:t xml:space="preserve"> hos en </w:t>
      </w:r>
      <w:proofErr w:type="spellStart"/>
      <w:r w:rsidRPr="00B41F6B">
        <w:rPr>
          <w:sz w:val="24"/>
          <w:szCs w:val="24"/>
        </w:rPr>
        <w:t>IgG</w:t>
      </w:r>
      <w:proofErr w:type="spellEnd"/>
      <w:r w:rsidRPr="00B41F6B">
        <w:rPr>
          <w:sz w:val="24"/>
          <w:szCs w:val="24"/>
        </w:rPr>
        <w:t>-positiv recipient låg.</w:t>
      </w:r>
      <w:r>
        <w:rPr>
          <w:sz w:val="24"/>
          <w:szCs w:val="24"/>
        </w:rPr>
        <w:t xml:space="preserve">  Således är profylax bara aktuellt vid</w:t>
      </w:r>
      <w:r w:rsidRPr="00B41F6B">
        <w:t xml:space="preserve"> </w:t>
      </w:r>
      <w:r>
        <w:rPr>
          <w:sz w:val="24"/>
          <w:szCs w:val="24"/>
        </w:rPr>
        <w:t>h</w:t>
      </w:r>
      <w:r w:rsidRPr="00B41F6B">
        <w:rPr>
          <w:sz w:val="24"/>
          <w:szCs w:val="24"/>
        </w:rPr>
        <w:t xml:space="preserve">järttransplanterade patienter som är </w:t>
      </w:r>
      <w:proofErr w:type="spellStart"/>
      <w:r w:rsidRPr="00B41F6B">
        <w:rPr>
          <w:sz w:val="24"/>
          <w:szCs w:val="24"/>
        </w:rPr>
        <w:t>IgG</w:t>
      </w:r>
      <w:proofErr w:type="spellEnd"/>
      <w:r w:rsidRPr="00B41F6B">
        <w:rPr>
          <w:sz w:val="24"/>
          <w:szCs w:val="24"/>
        </w:rPr>
        <w:t xml:space="preserve">-negativa och som får organ från en </w:t>
      </w:r>
      <w:proofErr w:type="spellStart"/>
      <w:r w:rsidRPr="00B41F6B">
        <w:rPr>
          <w:sz w:val="24"/>
          <w:szCs w:val="24"/>
        </w:rPr>
        <w:t>IgG</w:t>
      </w:r>
      <w:proofErr w:type="spellEnd"/>
      <w:r w:rsidRPr="00B41F6B">
        <w:rPr>
          <w:sz w:val="24"/>
          <w:szCs w:val="24"/>
        </w:rPr>
        <w:t>-positiv donator</w:t>
      </w:r>
      <w:r>
        <w:rPr>
          <w:sz w:val="24"/>
          <w:szCs w:val="24"/>
        </w:rPr>
        <w:t>. Generellt gäller att p</w:t>
      </w:r>
      <w:r w:rsidRPr="005D024B">
        <w:rPr>
          <w:sz w:val="24"/>
          <w:szCs w:val="24"/>
        </w:rPr>
        <w:t>rofylax skall sättas in så snart som möjligt efter transplantation</w:t>
      </w:r>
      <w:r>
        <w:rPr>
          <w:sz w:val="24"/>
          <w:szCs w:val="24"/>
        </w:rPr>
        <w:t>en. Duration av profylax är inte fastslagen men brukar erfarenhetsmässigt bli cirka ett år.</w:t>
      </w:r>
    </w:p>
    <w:p w14:paraId="7182DD81" w14:textId="77777777" w:rsidR="00B41F6B" w:rsidRPr="00182FC2" w:rsidRDefault="00B41F6B">
      <w:pPr>
        <w:rPr>
          <w:sz w:val="24"/>
          <w:szCs w:val="24"/>
        </w:rPr>
      </w:pPr>
    </w:p>
    <w:p w14:paraId="04091230" w14:textId="6B0B6FF6" w:rsidR="00182FC2" w:rsidRPr="00C86DA4" w:rsidRDefault="00182FC2">
      <w:pPr>
        <w:rPr>
          <w:sz w:val="24"/>
          <w:szCs w:val="24"/>
          <w:u w:val="single"/>
        </w:rPr>
      </w:pPr>
      <w:r w:rsidRPr="00C86DA4">
        <w:rPr>
          <w:sz w:val="24"/>
          <w:szCs w:val="24"/>
          <w:u w:val="single"/>
        </w:rPr>
        <w:t xml:space="preserve">Förstahandsval: </w:t>
      </w:r>
    </w:p>
    <w:p w14:paraId="5990D3C1" w14:textId="62917A90" w:rsidR="00655363" w:rsidRDefault="00182FC2" w:rsidP="005173B5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3554DD">
        <w:rPr>
          <w:sz w:val="24"/>
          <w:szCs w:val="24"/>
        </w:rPr>
        <w:t>Trimetoprim</w:t>
      </w:r>
      <w:proofErr w:type="spellEnd"/>
      <w:r w:rsidRPr="003554DD">
        <w:rPr>
          <w:sz w:val="24"/>
          <w:szCs w:val="24"/>
        </w:rPr>
        <w:t>/</w:t>
      </w:r>
      <w:proofErr w:type="spellStart"/>
      <w:r w:rsidRPr="003554DD">
        <w:rPr>
          <w:sz w:val="24"/>
          <w:szCs w:val="24"/>
        </w:rPr>
        <w:t>sulfametoxazol</w:t>
      </w:r>
      <w:proofErr w:type="spellEnd"/>
      <w:r w:rsidRPr="003554DD">
        <w:rPr>
          <w:sz w:val="24"/>
          <w:szCs w:val="24"/>
        </w:rPr>
        <w:t xml:space="preserve"> </w:t>
      </w:r>
      <w:r w:rsidR="008067E6">
        <w:rPr>
          <w:sz w:val="24"/>
          <w:szCs w:val="24"/>
        </w:rPr>
        <w:t>80</w:t>
      </w:r>
      <w:r w:rsidRPr="003554DD">
        <w:rPr>
          <w:sz w:val="24"/>
          <w:szCs w:val="24"/>
        </w:rPr>
        <w:t xml:space="preserve"> mg/</w:t>
      </w:r>
      <w:r w:rsidR="008067E6">
        <w:rPr>
          <w:sz w:val="24"/>
          <w:szCs w:val="24"/>
        </w:rPr>
        <w:t>400</w:t>
      </w:r>
      <w:r w:rsidRPr="003554DD">
        <w:rPr>
          <w:sz w:val="24"/>
          <w:szCs w:val="24"/>
        </w:rPr>
        <w:t xml:space="preserve"> mg (</w:t>
      </w:r>
      <w:proofErr w:type="spellStart"/>
      <w:r w:rsidRPr="003554DD">
        <w:rPr>
          <w:sz w:val="24"/>
          <w:szCs w:val="24"/>
        </w:rPr>
        <w:t>Bactrim</w:t>
      </w:r>
      <w:proofErr w:type="spellEnd"/>
      <w:r w:rsidRPr="003554DD">
        <w:rPr>
          <w:sz w:val="24"/>
          <w:szCs w:val="24"/>
        </w:rPr>
        <w:t xml:space="preserve">, </w:t>
      </w:r>
      <w:proofErr w:type="spellStart"/>
      <w:r w:rsidRPr="003554DD">
        <w:rPr>
          <w:sz w:val="24"/>
          <w:szCs w:val="24"/>
        </w:rPr>
        <w:t>Eusaprim</w:t>
      </w:r>
      <w:proofErr w:type="spellEnd"/>
      <w:r w:rsidRPr="003554DD">
        <w:rPr>
          <w:sz w:val="24"/>
          <w:szCs w:val="24"/>
        </w:rPr>
        <w:t>) 1 x 1 (AII för HIV I USA) (Masur, i likhet med de flesta rekommendationer nedan)</w:t>
      </w:r>
    </w:p>
    <w:p w14:paraId="149DA9DB" w14:textId="77777777" w:rsidR="005173B5" w:rsidRPr="005173B5" w:rsidRDefault="005173B5" w:rsidP="005173B5">
      <w:pPr>
        <w:pStyle w:val="Liststycke"/>
        <w:rPr>
          <w:sz w:val="24"/>
          <w:szCs w:val="24"/>
        </w:rPr>
      </w:pPr>
    </w:p>
    <w:p w14:paraId="4D232D61" w14:textId="708E5DF1" w:rsidR="00655363" w:rsidRPr="003554DD" w:rsidRDefault="00655363" w:rsidP="00182FC2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3554DD">
        <w:rPr>
          <w:sz w:val="24"/>
          <w:szCs w:val="24"/>
        </w:rPr>
        <w:t>Trimetoprim</w:t>
      </w:r>
      <w:proofErr w:type="spellEnd"/>
      <w:r w:rsidRPr="003554DD">
        <w:rPr>
          <w:sz w:val="24"/>
          <w:szCs w:val="24"/>
        </w:rPr>
        <w:t>/</w:t>
      </w:r>
      <w:proofErr w:type="spellStart"/>
      <w:r w:rsidRPr="003554DD">
        <w:rPr>
          <w:sz w:val="24"/>
          <w:szCs w:val="24"/>
        </w:rPr>
        <w:t>sulfametoxazol</w:t>
      </w:r>
      <w:proofErr w:type="spellEnd"/>
      <w:r w:rsidRPr="003554DD">
        <w:rPr>
          <w:sz w:val="24"/>
          <w:szCs w:val="24"/>
        </w:rPr>
        <w:t xml:space="preserve"> 160 mg/800 mg</w:t>
      </w:r>
      <w:r w:rsidR="00F205A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 tablett </w:t>
      </w:r>
      <w:r w:rsidR="008067E6">
        <w:rPr>
          <w:sz w:val="24"/>
          <w:szCs w:val="24"/>
        </w:rPr>
        <w:t>3</w:t>
      </w:r>
      <w:r>
        <w:rPr>
          <w:sz w:val="24"/>
          <w:szCs w:val="24"/>
        </w:rPr>
        <w:t xml:space="preserve"> ggr/v</w:t>
      </w:r>
    </w:p>
    <w:p w14:paraId="616FF517" w14:textId="77777777" w:rsidR="00182FC2" w:rsidRDefault="00182FC2">
      <w:pPr>
        <w:rPr>
          <w:sz w:val="24"/>
          <w:szCs w:val="24"/>
        </w:rPr>
      </w:pPr>
    </w:p>
    <w:p w14:paraId="7838253A" w14:textId="6A2602A8" w:rsidR="00182FC2" w:rsidRDefault="00182FC2">
      <w:pPr>
        <w:rPr>
          <w:sz w:val="24"/>
          <w:szCs w:val="24"/>
        </w:rPr>
      </w:pPr>
      <w:r w:rsidRPr="00182FC2">
        <w:rPr>
          <w:sz w:val="24"/>
          <w:szCs w:val="24"/>
        </w:rPr>
        <w:t xml:space="preserve">Det finns en del observationsdata avseende trimsulfa men ingen randomiserad studie. I </w:t>
      </w:r>
      <w:r w:rsidR="00237CBF">
        <w:rPr>
          <w:sz w:val="24"/>
          <w:szCs w:val="24"/>
        </w:rPr>
        <w:t xml:space="preserve">studien av Martino et al. </w:t>
      </w:r>
      <w:r w:rsidRPr="00182FC2">
        <w:rPr>
          <w:sz w:val="24"/>
          <w:szCs w:val="24"/>
        </w:rPr>
        <w:t xml:space="preserve">var omslag till PCR-positivitet hos de som fick adekvat trimsulfaprofylax (definierat som tablett </w:t>
      </w:r>
      <w:proofErr w:type="spellStart"/>
      <w:r w:rsidRPr="00182FC2">
        <w:rPr>
          <w:sz w:val="24"/>
          <w:szCs w:val="24"/>
        </w:rPr>
        <w:t>Bactrim</w:t>
      </w:r>
      <w:proofErr w:type="spellEnd"/>
      <w:r w:rsidRPr="00182FC2">
        <w:rPr>
          <w:sz w:val="24"/>
          <w:szCs w:val="24"/>
        </w:rPr>
        <w:t xml:space="preserve"> Forte (160mg/800mg), </w:t>
      </w:r>
      <w:proofErr w:type="gramStart"/>
      <w:r w:rsidRPr="00182FC2">
        <w:rPr>
          <w:sz w:val="24"/>
          <w:szCs w:val="24"/>
        </w:rPr>
        <w:t>4-6</w:t>
      </w:r>
      <w:proofErr w:type="gramEnd"/>
      <w:r w:rsidRPr="00182FC2">
        <w:rPr>
          <w:sz w:val="24"/>
          <w:szCs w:val="24"/>
        </w:rPr>
        <w:t xml:space="preserve"> ggr/vecka under minst 80 % av tiden) 4 % mot 24 % för de som fick alternativ</w:t>
      </w:r>
      <w:r w:rsidR="002B70BE">
        <w:rPr>
          <w:sz w:val="24"/>
          <w:szCs w:val="24"/>
        </w:rPr>
        <w:t xml:space="preserve"> </w:t>
      </w:r>
      <w:r w:rsidRPr="00182FC2">
        <w:rPr>
          <w:sz w:val="24"/>
          <w:szCs w:val="24"/>
        </w:rPr>
        <w:t>profylax eller ingen profylax (Martino). Liknande genombrottssiffror finns rapporterade i andra studier men verkar vara betydligt högre om man doserar färre än tre gånger i veckan (</w:t>
      </w:r>
      <w:proofErr w:type="spellStart"/>
      <w:r w:rsidRPr="00182FC2">
        <w:rPr>
          <w:sz w:val="24"/>
          <w:szCs w:val="24"/>
        </w:rPr>
        <w:t>Gajurel</w:t>
      </w:r>
      <w:proofErr w:type="spellEnd"/>
      <w:r w:rsidRPr="00182FC2">
        <w:rPr>
          <w:sz w:val="24"/>
          <w:szCs w:val="24"/>
        </w:rPr>
        <w:t xml:space="preserve">). </w:t>
      </w:r>
      <w:r w:rsidR="008067E6">
        <w:rPr>
          <w:sz w:val="24"/>
          <w:szCs w:val="24"/>
        </w:rPr>
        <w:t>I de senaste rekommendationerna från EBMT och ECIL föreslår</w:t>
      </w:r>
      <w:r w:rsidR="002B70BE">
        <w:rPr>
          <w:sz w:val="24"/>
          <w:szCs w:val="24"/>
        </w:rPr>
        <w:t xml:space="preserve"> man</w:t>
      </w:r>
      <w:r w:rsidR="008067E6">
        <w:rPr>
          <w:sz w:val="24"/>
          <w:szCs w:val="24"/>
        </w:rPr>
        <w:t xml:space="preserve"> antingen en </w:t>
      </w:r>
      <w:proofErr w:type="spellStart"/>
      <w:r w:rsidR="008067E6">
        <w:rPr>
          <w:sz w:val="24"/>
          <w:szCs w:val="24"/>
        </w:rPr>
        <w:t>Bactrim</w:t>
      </w:r>
      <w:proofErr w:type="spellEnd"/>
      <w:r w:rsidR="008067E6">
        <w:rPr>
          <w:sz w:val="24"/>
          <w:szCs w:val="24"/>
        </w:rPr>
        <w:t xml:space="preserve"> om dagen eller en </w:t>
      </w:r>
      <w:proofErr w:type="spellStart"/>
      <w:r w:rsidR="008067E6">
        <w:rPr>
          <w:sz w:val="24"/>
          <w:szCs w:val="24"/>
        </w:rPr>
        <w:t>Bactrim</w:t>
      </w:r>
      <w:proofErr w:type="spellEnd"/>
      <w:r w:rsidR="008067E6">
        <w:rPr>
          <w:sz w:val="24"/>
          <w:szCs w:val="24"/>
        </w:rPr>
        <w:t xml:space="preserve"> Forte 3 ggr/veckan.</w:t>
      </w:r>
    </w:p>
    <w:p w14:paraId="4C65EF3F" w14:textId="77777777" w:rsidR="008067E6" w:rsidRDefault="008067E6">
      <w:pPr>
        <w:rPr>
          <w:sz w:val="24"/>
          <w:szCs w:val="24"/>
        </w:rPr>
      </w:pPr>
    </w:p>
    <w:p w14:paraId="1B151B15" w14:textId="0FDD4A50" w:rsidR="00182FC2" w:rsidRPr="00C86DA4" w:rsidRDefault="00182FC2">
      <w:pPr>
        <w:rPr>
          <w:sz w:val="24"/>
          <w:szCs w:val="24"/>
          <w:u w:val="single"/>
        </w:rPr>
      </w:pPr>
      <w:r w:rsidRPr="00C86DA4">
        <w:rPr>
          <w:sz w:val="24"/>
          <w:szCs w:val="24"/>
          <w:u w:val="single"/>
        </w:rPr>
        <w:t>Andrahandsval:</w:t>
      </w:r>
    </w:p>
    <w:p w14:paraId="123418E7" w14:textId="5AF1CE62" w:rsidR="00C41F60" w:rsidRDefault="00C41F60">
      <w:pPr>
        <w:rPr>
          <w:sz w:val="24"/>
          <w:szCs w:val="24"/>
        </w:rPr>
      </w:pPr>
      <w:r w:rsidRPr="00C41F60">
        <w:rPr>
          <w:sz w:val="24"/>
          <w:szCs w:val="24"/>
        </w:rPr>
        <w:t>Generellt är evidensen fö</w:t>
      </w:r>
      <w:r>
        <w:rPr>
          <w:sz w:val="24"/>
          <w:szCs w:val="24"/>
        </w:rPr>
        <w:t xml:space="preserve">r </w:t>
      </w:r>
      <w:r w:rsidR="00743591">
        <w:rPr>
          <w:sz w:val="24"/>
          <w:szCs w:val="24"/>
        </w:rPr>
        <w:t xml:space="preserve">de </w:t>
      </w:r>
      <w:r>
        <w:rPr>
          <w:sz w:val="24"/>
          <w:szCs w:val="24"/>
        </w:rPr>
        <w:t>publicerade doseringsförlagen</w:t>
      </w:r>
      <w:r w:rsidRPr="00C41F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av </w:t>
      </w:r>
      <w:r w:rsidRPr="00C41F60">
        <w:rPr>
          <w:sz w:val="24"/>
          <w:szCs w:val="24"/>
        </w:rPr>
        <w:t>andrahandsalternativ något oklar</w:t>
      </w:r>
      <w:r>
        <w:rPr>
          <w:sz w:val="24"/>
          <w:szCs w:val="24"/>
        </w:rPr>
        <w:t xml:space="preserve"> och varierar dessutom något mellan </w:t>
      </w:r>
      <w:proofErr w:type="spellStart"/>
      <w:r>
        <w:rPr>
          <w:sz w:val="24"/>
          <w:szCs w:val="24"/>
        </w:rPr>
        <w:t>guidelines</w:t>
      </w:r>
      <w:proofErr w:type="spellEnd"/>
      <w:r>
        <w:rPr>
          <w:sz w:val="24"/>
          <w:szCs w:val="24"/>
        </w:rPr>
        <w:t xml:space="preserve">. Vid användandet av ett </w:t>
      </w:r>
      <w:r w:rsidRPr="00C41F60">
        <w:rPr>
          <w:sz w:val="24"/>
          <w:szCs w:val="24"/>
        </w:rPr>
        <w:t>andrahandsalternativ</w:t>
      </w:r>
      <w:r>
        <w:rPr>
          <w:sz w:val="24"/>
          <w:szCs w:val="24"/>
        </w:rPr>
        <w:t xml:space="preserve"> är risken för genombrott större och tröskeln för kontroll av toxoplasma PCR därmed lägre.</w:t>
      </w:r>
    </w:p>
    <w:p w14:paraId="76D30ABB" w14:textId="0E0DEC4D" w:rsidR="00C41F60" w:rsidRPr="00C41F60" w:rsidRDefault="00C41F60">
      <w:pPr>
        <w:rPr>
          <w:sz w:val="24"/>
          <w:szCs w:val="24"/>
        </w:rPr>
      </w:pPr>
      <w:r>
        <w:rPr>
          <w:sz w:val="24"/>
          <w:szCs w:val="24"/>
        </w:rPr>
        <w:t xml:space="preserve">Det flesta alternativ baseras på </w:t>
      </w:r>
      <w:proofErr w:type="spellStart"/>
      <w:r>
        <w:rPr>
          <w:sz w:val="24"/>
          <w:szCs w:val="24"/>
        </w:rPr>
        <w:t>pyrimetamin</w:t>
      </w:r>
      <w:proofErr w:type="spellEnd"/>
      <w:r>
        <w:rPr>
          <w:sz w:val="24"/>
          <w:szCs w:val="24"/>
        </w:rPr>
        <w:t xml:space="preserve"> (ges alltid med </w:t>
      </w:r>
      <w:proofErr w:type="spellStart"/>
      <w:r>
        <w:rPr>
          <w:sz w:val="24"/>
          <w:szCs w:val="24"/>
        </w:rPr>
        <w:t>folinsyra</w:t>
      </w:r>
      <w:proofErr w:type="spellEnd"/>
      <w:r>
        <w:rPr>
          <w:sz w:val="24"/>
          <w:szCs w:val="24"/>
        </w:rPr>
        <w:t xml:space="preserve">) som används tillsammans med ytterligare ett preparat med aktivitet mot Toxoplasma. </w:t>
      </w:r>
    </w:p>
    <w:p w14:paraId="479858EB" w14:textId="77777777" w:rsidR="00C86DA4" w:rsidRDefault="00C86DA4">
      <w:pPr>
        <w:rPr>
          <w:sz w:val="24"/>
          <w:szCs w:val="24"/>
        </w:rPr>
      </w:pPr>
    </w:p>
    <w:p w14:paraId="474A6EC1" w14:textId="4A0D2C45" w:rsidR="002D7238" w:rsidRPr="003554DD" w:rsidRDefault="00C86DA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2D7238" w:rsidRPr="003554DD">
        <w:rPr>
          <w:sz w:val="24"/>
          <w:szCs w:val="24"/>
        </w:rPr>
        <w:t>yrimetamin</w:t>
      </w:r>
      <w:proofErr w:type="spellEnd"/>
      <w:r w:rsidR="002D7238" w:rsidRPr="003554DD">
        <w:rPr>
          <w:sz w:val="24"/>
          <w:szCs w:val="24"/>
        </w:rPr>
        <w:t xml:space="preserve"> (Daraprim©, licensläkemedel) 75 mg</w:t>
      </w:r>
      <w:r>
        <w:rPr>
          <w:sz w:val="24"/>
          <w:szCs w:val="24"/>
        </w:rPr>
        <w:t>/</w:t>
      </w:r>
      <w:r w:rsidR="007956F2">
        <w:rPr>
          <w:sz w:val="24"/>
          <w:szCs w:val="24"/>
        </w:rPr>
        <w:t>veckan</w:t>
      </w:r>
      <w:r w:rsidR="002D7238" w:rsidRPr="003554DD">
        <w:rPr>
          <w:sz w:val="24"/>
          <w:szCs w:val="24"/>
        </w:rPr>
        <w:t xml:space="preserve"> + </w:t>
      </w:r>
      <w:proofErr w:type="spellStart"/>
      <w:r w:rsidR="002D7238" w:rsidRPr="003554DD">
        <w:rPr>
          <w:sz w:val="24"/>
          <w:szCs w:val="24"/>
        </w:rPr>
        <w:t>folinsyra</w:t>
      </w:r>
      <w:proofErr w:type="spellEnd"/>
      <w:r w:rsidR="002D7238" w:rsidRPr="003554DD">
        <w:rPr>
          <w:sz w:val="24"/>
          <w:szCs w:val="24"/>
        </w:rPr>
        <w:t xml:space="preserve"> (=</w:t>
      </w:r>
      <w:proofErr w:type="spellStart"/>
      <w:r w:rsidR="002D7238" w:rsidRPr="003554DD">
        <w:rPr>
          <w:sz w:val="24"/>
          <w:szCs w:val="24"/>
        </w:rPr>
        <w:t>calciumfolinat</w:t>
      </w:r>
      <w:proofErr w:type="spellEnd"/>
      <w:r w:rsidR="002D7238" w:rsidRPr="003554DD">
        <w:rPr>
          <w:sz w:val="24"/>
          <w:szCs w:val="24"/>
        </w:rPr>
        <w:t>) 25 mg</w:t>
      </w:r>
      <w:r>
        <w:rPr>
          <w:sz w:val="24"/>
          <w:szCs w:val="24"/>
        </w:rPr>
        <w:t>/veckan +</w:t>
      </w:r>
      <w:r w:rsidR="0074359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Pr="003554DD">
        <w:rPr>
          <w:sz w:val="24"/>
          <w:szCs w:val="24"/>
        </w:rPr>
        <w:t>apson</w:t>
      </w:r>
      <w:proofErr w:type="spellEnd"/>
      <w:r w:rsidRPr="003554DD">
        <w:rPr>
          <w:sz w:val="24"/>
          <w:szCs w:val="24"/>
        </w:rPr>
        <w:t xml:space="preserve"> (</w:t>
      </w:r>
      <w:proofErr w:type="spellStart"/>
      <w:r w:rsidRPr="003554DD">
        <w:rPr>
          <w:sz w:val="24"/>
          <w:szCs w:val="24"/>
        </w:rPr>
        <w:t>Dapsone</w:t>
      </w:r>
      <w:proofErr w:type="spellEnd"/>
      <w:r w:rsidRPr="003554DD">
        <w:rPr>
          <w:sz w:val="24"/>
          <w:szCs w:val="24"/>
        </w:rPr>
        <w:t>©, licensläkemedel) 200 mg</w:t>
      </w:r>
      <w:r>
        <w:rPr>
          <w:sz w:val="24"/>
          <w:szCs w:val="24"/>
        </w:rPr>
        <w:t>/veckan</w:t>
      </w:r>
    </w:p>
    <w:p w14:paraId="760262AE" w14:textId="40D9DCC7" w:rsidR="00182FC2" w:rsidRDefault="00182FC2">
      <w:pPr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Pr="00182FC2">
        <w:rPr>
          <w:sz w:val="24"/>
          <w:szCs w:val="24"/>
        </w:rPr>
        <w:t>xtrapolerade från HIV-patienter med lite eller ingen data efter allogen SCT</w:t>
      </w:r>
      <w:r>
        <w:rPr>
          <w:sz w:val="24"/>
          <w:szCs w:val="24"/>
        </w:rPr>
        <w:t>.</w:t>
      </w:r>
      <w:r w:rsidR="00C86DA4">
        <w:rPr>
          <w:sz w:val="24"/>
          <w:szCs w:val="24"/>
        </w:rPr>
        <w:t xml:space="preserve"> Finns viss risk för korsreaktion mellan sulfa och </w:t>
      </w:r>
      <w:proofErr w:type="spellStart"/>
      <w:r w:rsidR="00C86DA4">
        <w:rPr>
          <w:sz w:val="24"/>
          <w:szCs w:val="24"/>
        </w:rPr>
        <w:t>dapson</w:t>
      </w:r>
      <w:proofErr w:type="spellEnd"/>
      <w:r w:rsidR="00C86DA4">
        <w:rPr>
          <w:sz w:val="24"/>
          <w:szCs w:val="24"/>
        </w:rPr>
        <w:t>.</w:t>
      </w:r>
    </w:p>
    <w:p w14:paraId="23BCC957" w14:textId="77777777" w:rsidR="00C86DA4" w:rsidRPr="003554DD" w:rsidRDefault="00C86DA4" w:rsidP="00C86DA4">
      <w:pPr>
        <w:rPr>
          <w:sz w:val="24"/>
          <w:szCs w:val="24"/>
        </w:rPr>
      </w:pPr>
    </w:p>
    <w:p w14:paraId="1C84CD8C" w14:textId="77777777" w:rsidR="00C86DA4" w:rsidRPr="003554DD" w:rsidRDefault="00C86DA4" w:rsidP="00C86DA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Pr="003554DD">
        <w:rPr>
          <w:sz w:val="24"/>
          <w:szCs w:val="24"/>
        </w:rPr>
        <w:t>yrimetamin</w:t>
      </w:r>
      <w:proofErr w:type="spellEnd"/>
      <w:r w:rsidRPr="003554DD">
        <w:rPr>
          <w:sz w:val="24"/>
          <w:szCs w:val="24"/>
        </w:rPr>
        <w:t xml:space="preserve"> (Daraprim©, licensläkemedel) 75 mg</w:t>
      </w:r>
      <w:r>
        <w:rPr>
          <w:sz w:val="24"/>
          <w:szCs w:val="24"/>
        </w:rPr>
        <w:t>/vecka</w:t>
      </w:r>
      <w:r w:rsidRPr="003554DD">
        <w:rPr>
          <w:sz w:val="24"/>
          <w:szCs w:val="24"/>
        </w:rPr>
        <w:t xml:space="preserve"> och </w:t>
      </w:r>
      <w:proofErr w:type="spellStart"/>
      <w:r w:rsidRPr="003554DD">
        <w:rPr>
          <w:sz w:val="24"/>
          <w:szCs w:val="24"/>
        </w:rPr>
        <w:t>folinsyra</w:t>
      </w:r>
      <w:proofErr w:type="spellEnd"/>
      <w:r w:rsidRPr="003554DD">
        <w:rPr>
          <w:sz w:val="24"/>
          <w:szCs w:val="24"/>
        </w:rPr>
        <w:t xml:space="preserve"> (=</w:t>
      </w:r>
      <w:proofErr w:type="spellStart"/>
      <w:r w:rsidRPr="003554DD">
        <w:rPr>
          <w:sz w:val="24"/>
          <w:szCs w:val="24"/>
        </w:rPr>
        <w:t>calciumfolinat</w:t>
      </w:r>
      <w:proofErr w:type="spellEnd"/>
      <w:r w:rsidRPr="003554DD">
        <w:rPr>
          <w:sz w:val="24"/>
          <w:szCs w:val="24"/>
        </w:rPr>
        <w:t>) 25 mg</w:t>
      </w:r>
      <w:r>
        <w:rPr>
          <w:sz w:val="24"/>
          <w:szCs w:val="24"/>
        </w:rPr>
        <w:t>/vecka +</w:t>
      </w:r>
      <w:r w:rsidRPr="003554D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Pr="003554DD">
        <w:rPr>
          <w:sz w:val="24"/>
          <w:szCs w:val="24"/>
        </w:rPr>
        <w:t>tovakvon</w:t>
      </w:r>
      <w:proofErr w:type="spellEnd"/>
      <w:r w:rsidRPr="003554DD">
        <w:rPr>
          <w:sz w:val="24"/>
          <w:szCs w:val="24"/>
        </w:rPr>
        <w:t xml:space="preserve"> (</w:t>
      </w:r>
      <w:proofErr w:type="spellStart"/>
      <w:r w:rsidRPr="003554DD">
        <w:rPr>
          <w:sz w:val="24"/>
          <w:szCs w:val="24"/>
        </w:rPr>
        <w:t>Wellvone</w:t>
      </w:r>
      <w:proofErr w:type="spellEnd"/>
      <w:r w:rsidRPr="003554DD">
        <w:rPr>
          <w:sz w:val="24"/>
          <w:szCs w:val="24"/>
        </w:rPr>
        <w:t>©) 750 mg</w:t>
      </w:r>
      <w:r>
        <w:rPr>
          <w:sz w:val="24"/>
          <w:szCs w:val="24"/>
        </w:rPr>
        <w:t xml:space="preserve"> x 2</w:t>
      </w:r>
      <w:r w:rsidRPr="003554DD">
        <w:rPr>
          <w:sz w:val="24"/>
          <w:szCs w:val="24"/>
        </w:rPr>
        <w:t xml:space="preserve"> </w:t>
      </w:r>
    </w:p>
    <w:p w14:paraId="2DCE3D84" w14:textId="77777777" w:rsidR="00C86DA4" w:rsidRDefault="00C86DA4" w:rsidP="00C86DA4">
      <w:pPr>
        <w:rPr>
          <w:sz w:val="24"/>
          <w:szCs w:val="24"/>
        </w:rPr>
      </w:pPr>
      <w:r w:rsidRPr="00182FC2">
        <w:rPr>
          <w:sz w:val="24"/>
          <w:szCs w:val="24"/>
        </w:rPr>
        <w:t>Finns föreslaget för HIV, inga data för allogen SCT.</w:t>
      </w:r>
    </w:p>
    <w:p w14:paraId="4BFB3F7C" w14:textId="77777777" w:rsidR="00C86DA4" w:rsidRDefault="00C86DA4">
      <w:pPr>
        <w:rPr>
          <w:sz w:val="24"/>
          <w:szCs w:val="24"/>
        </w:rPr>
      </w:pPr>
    </w:p>
    <w:p w14:paraId="5DECA9D4" w14:textId="1DB23300" w:rsidR="00C86DA4" w:rsidRDefault="00C86DA4" w:rsidP="00C86DA4">
      <w:pPr>
        <w:rPr>
          <w:sz w:val="24"/>
          <w:szCs w:val="24"/>
        </w:rPr>
      </w:pPr>
      <w:proofErr w:type="spellStart"/>
      <w:r w:rsidRPr="003554DD">
        <w:rPr>
          <w:sz w:val="24"/>
          <w:szCs w:val="24"/>
        </w:rPr>
        <w:t>Atovakvon</w:t>
      </w:r>
      <w:proofErr w:type="spellEnd"/>
      <w:r w:rsidRPr="003554DD">
        <w:rPr>
          <w:sz w:val="24"/>
          <w:szCs w:val="24"/>
        </w:rPr>
        <w:t xml:space="preserve"> ensamt </w:t>
      </w:r>
      <w:r w:rsidR="00832883">
        <w:rPr>
          <w:sz w:val="24"/>
          <w:szCs w:val="24"/>
        </w:rPr>
        <w:t>f</w:t>
      </w:r>
      <w:r w:rsidRPr="00182FC2">
        <w:rPr>
          <w:sz w:val="24"/>
          <w:szCs w:val="24"/>
        </w:rPr>
        <w:t xml:space="preserve">inns det mycket lite data på efter allogen SCT och en del fallrapporter om genombrott. Känns tveksamt som singelprofylax men </w:t>
      </w:r>
      <w:r w:rsidR="00832883">
        <w:rPr>
          <w:sz w:val="24"/>
          <w:szCs w:val="24"/>
        </w:rPr>
        <w:t xml:space="preserve">om detta ändå ges, bör </w:t>
      </w:r>
      <w:r w:rsidRPr="00182FC2">
        <w:rPr>
          <w:sz w:val="24"/>
          <w:szCs w:val="24"/>
        </w:rPr>
        <w:t xml:space="preserve">dosen </w:t>
      </w:r>
      <w:r w:rsidR="00832883">
        <w:rPr>
          <w:sz w:val="24"/>
          <w:szCs w:val="24"/>
        </w:rPr>
        <w:t>(</w:t>
      </w:r>
      <w:r w:rsidRPr="00182FC2">
        <w:rPr>
          <w:sz w:val="24"/>
          <w:szCs w:val="24"/>
        </w:rPr>
        <w:t xml:space="preserve">extrapolerat från </w:t>
      </w:r>
      <w:r w:rsidR="00832883">
        <w:rPr>
          <w:sz w:val="24"/>
          <w:szCs w:val="24"/>
        </w:rPr>
        <w:t xml:space="preserve">data på patienter med </w:t>
      </w:r>
      <w:r w:rsidRPr="00182FC2">
        <w:rPr>
          <w:sz w:val="24"/>
          <w:szCs w:val="24"/>
        </w:rPr>
        <w:t>HIV</w:t>
      </w:r>
      <w:r w:rsidR="00832883">
        <w:rPr>
          <w:sz w:val="24"/>
          <w:szCs w:val="24"/>
        </w:rPr>
        <w:t>)</w:t>
      </w:r>
      <w:r w:rsidRPr="00182FC2">
        <w:rPr>
          <w:sz w:val="24"/>
          <w:szCs w:val="24"/>
        </w:rPr>
        <w:t xml:space="preserve"> inte var</w:t>
      </w:r>
      <w:r w:rsidR="001B1C78">
        <w:rPr>
          <w:sz w:val="24"/>
          <w:szCs w:val="24"/>
        </w:rPr>
        <w:t>a</w:t>
      </w:r>
      <w:r w:rsidRPr="00182FC2">
        <w:rPr>
          <w:sz w:val="24"/>
          <w:szCs w:val="24"/>
        </w:rPr>
        <w:t xml:space="preserve"> under 1500 mg dagligen. </w:t>
      </w:r>
    </w:p>
    <w:p w14:paraId="33CCC5DF" w14:textId="77777777" w:rsidR="002979B7" w:rsidRDefault="002979B7">
      <w:pPr>
        <w:rPr>
          <w:sz w:val="24"/>
          <w:szCs w:val="24"/>
        </w:rPr>
      </w:pPr>
    </w:p>
    <w:p w14:paraId="645317CF" w14:textId="77777777" w:rsidR="002D7238" w:rsidRPr="00C86DA4" w:rsidRDefault="00182FC2">
      <w:pPr>
        <w:rPr>
          <w:b/>
          <w:bCs/>
          <w:sz w:val="24"/>
          <w:szCs w:val="24"/>
        </w:rPr>
      </w:pPr>
      <w:r w:rsidRPr="00C86DA4">
        <w:rPr>
          <w:b/>
          <w:bCs/>
          <w:sz w:val="24"/>
          <w:szCs w:val="24"/>
        </w:rPr>
        <w:t xml:space="preserve">Behandling: </w:t>
      </w:r>
    </w:p>
    <w:p w14:paraId="1231DDD1" w14:textId="00414A6C" w:rsidR="00C86DA4" w:rsidRDefault="002D7238">
      <w:pPr>
        <w:rPr>
          <w:sz w:val="24"/>
          <w:szCs w:val="24"/>
        </w:rPr>
      </w:pPr>
      <w:r>
        <w:rPr>
          <w:sz w:val="24"/>
          <w:szCs w:val="24"/>
        </w:rPr>
        <w:t xml:space="preserve">Publicerade behandlingsrekommendationer är </w:t>
      </w:r>
      <w:r w:rsidR="001B2D6E">
        <w:rPr>
          <w:sz w:val="24"/>
          <w:szCs w:val="24"/>
        </w:rPr>
        <w:t>huvudsakligen</w:t>
      </w:r>
      <w:r>
        <w:rPr>
          <w:sz w:val="24"/>
          <w:szCs w:val="24"/>
        </w:rPr>
        <w:t xml:space="preserve"> extrapolerade från </w:t>
      </w:r>
      <w:r w:rsidR="00182FC2" w:rsidRPr="00182FC2">
        <w:rPr>
          <w:sz w:val="24"/>
          <w:szCs w:val="24"/>
        </w:rPr>
        <w:t>HIV-patienter. Normalt ges behandling i minst 6 veckor men oftast betydligt längre beroende på behandlingssvar (regress röntgenförändringar mm). Följs av sekundär profylax/</w:t>
      </w:r>
      <w:proofErr w:type="spellStart"/>
      <w:r w:rsidR="00182FC2" w:rsidRPr="00182FC2">
        <w:rPr>
          <w:sz w:val="24"/>
          <w:szCs w:val="24"/>
        </w:rPr>
        <w:t>supressionsbehandling</w:t>
      </w:r>
      <w:proofErr w:type="spellEnd"/>
      <w:r w:rsidR="00182FC2" w:rsidRPr="00182FC2">
        <w:rPr>
          <w:sz w:val="24"/>
          <w:szCs w:val="24"/>
        </w:rPr>
        <w:t xml:space="preserve"> (se nedan) under lång tid, eventuellt livslångt om fortsatt </w:t>
      </w:r>
      <w:proofErr w:type="spellStart"/>
      <w:r w:rsidR="00182FC2" w:rsidRPr="00182FC2">
        <w:rPr>
          <w:sz w:val="24"/>
          <w:szCs w:val="24"/>
        </w:rPr>
        <w:t>immunuppression</w:t>
      </w:r>
      <w:proofErr w:type="spellEnd"/>
      <w:r w:rsidR="00182FC2" w:rsidRPr="00182FC2">
        <w:rPr>
          <w:sz w:val="24"/>
          <w:szCs w:val="24"/>
        </w:rPr>
        <w:t xml:space="preserve"> som kronisk GVHD.</w:t>
      </w:r>
      <w:r w:rsidR="00C86DA4">
        <w:rPr>
          <w:sz w:val="24"/>
          <w:szCs w:val="24"/>
        </w:rPr>
        <w:t xml:space="preserve"> Koncentrationsbestämning av </w:t>
      </w:r>
      <w:proofErr w:type="spellStart"/>
      <w:r w:rsidR="00C86DA4">
        <w:rPr>
          <w:sz w:val="24"/>
          <w:szCs w:val="24"/>
        </w:rPr>
        <w:t>sulfadiazin</w:t>
      </w:r>
      <w:proofErr w:type="spellEnd"/>
      <w:r w:rsidR="00C86DA4">
        <w:rPr>
          <w:sz w:val="24"/>
          <w:szCs w:val="24"/>
        </w:rPr>
        <w:t xml:space="preserve"> finns inte uppsatt i Sverige (2023) utan måste skickas till Tyskland med långa svarstider. Vid uttalad njursvikt är därför att föredra att antigen behandla med trimsulfa och följa koncentrationer eller </w:t>
      </w:r>
      <w:proofErr w:type="spellStart"/>
      <w:r w:rsidR="00C86DA4">
        <w:rPr>
          <w:sz w:val="24"/>
          <w:szCs w:val="24"/>
        </w:rPr>
        <w:t>pyrimetamin</w:t>
      </w:r>
      <w:proofErr w:type="spellEnd"/>
      <w:r w:rsidR="00C86DA4">
        <w:rPr>
          <w:sz w:val="24"/>
          <w:szCs w:val="24"/>
        </w:rPr>
        <w:t xml:space="preserve"> + </w:t>
      </w:r>
      <w:proofErr w:type="spellStart"/>
      <w:r w:rsidR="00C86DA4">
        <w:rPr>
          <w:sz w:val="24"/>
          <w:szCs w:val="24"/>
        </w:rPr>
        <w:t>klindamycin</w:t>
      </w:r>
      <w:proofErr w:type="spellEnd"/>
      <w:r w:rsidR="00C86DA4">
        <w:rPr>
          <w:sz w:val="24"/>
          <w:szCs w:val="24"/>
        </w:rPr>
        <w:t>.</w:t>
      </w:r>
    </w:p>
    <w:p w14:paraId="63D0B007" w14:textId="77777777" w:rsidR="00C86DA4" w:rsidRDefault="00C86DA4">
      <w:pPr>
        <w:rPr>
          <w:sz w:val="24"/>
          <w:szCs w:val="24"/>
        </w:rPr>
      </w:pPr>
    </w:p>
    <w:p w14:paraId="37FCA7C7" w14:textId="685129E1" w:rsidR="002D7238" w:rsidRPr="00C86DA4" w:rsidRDefault="00182FC2">
      <w:pPr>
        <w:rPr>
          <w:sz w:val="24"/>
          <w:szCs w:val="24"/>
          <w:u w:val="single"/>
        </w:rPr>
      </w:pPr>
      <w:r w:rsidRPr="00C86DA4">
        <w:rPr>
          <w:sz w:val="24"/>
          <w:szCs w:val="24"/>
          <w:u w:val="single"/>
        </w:rPr>
        <w:t>Förstahand</w:t>
      </w:r>
      <w:r w:rsidR="002D7238" w:rsidRPr="00C86DA4">
        <w:rPr>
          <w:sz w:val="24"/>
          <w:szCs w:val="24"/>
          <w:u w:val="single"/>
        </w:rPr>
        <w:t>sval</w:t>
      </w:r>
      <w:r w:rsidRPr="00C86DA4">
        <w:rPr>
          <w:sz w:val="24"/>
          <w:szCs w:val="24"/>
          <w:u w:val="single"/>
        </w:rPr>
        <w:t>:</w:t>
      </w:r>
    </w:p>
    <w:p w14:paraId="07549648" w14:textId="1BEA070B" w:rsidR="003554DD" w:rsidRPr="003554DD" w:rsidRDefault="00182FC2">
      <w:pPr>
        <w:rPr>
          <w:sz w:val="24"/>
          <w:szCs w:val="24"/>
        </w:rPr>
      </w:pPr>
      <w:r w:rsidRPr="003554DD">
        <w:rPr>
          <w:sz w:val="24"/>
          <w:szCs w:val="24"/>
        </w:rPr>
        <w:t xml:space="preserve">Kroppsvikt ≤60 kg: </w:t>
      </w:r>
      <w:proofErr w:type="spellStart"/>
      <w:r w:rsidRPr="003554DD">
        <w:rPr>
          <w:sz w:val="24"/>
          <w:szCs w:val="24"/>
        </w:rPr>
        <w:t>Pyrimetamin</w:t>
      </w:r>
      <w:proofErr w:type="spellEnd"/>
      <w:r w:rsidRPr="003554DD">
        <w:rPr>
          <w:sz w:val="24"/>
          <w:szCs w:val="24"/>
        </w:rPr>
        <w:t xml:space="preserve"> (Daraprim©, licensläkemedel) 200 mg x 1 som laddningsdos första dagen och därefter </w:t>
      </w:r>
      <w:proofErr w:type="spellStart"/>
      <w:r w:rsidRPr="003554DD">
        <w:rPr>
          <w:sz w:val="24"/>
          <w:szCs w:val="24"/>
        </w:rPr>
        <w:t>pyrimetamin</w:t>
      </w:r>
      <w:proofErr w:type="spellEnd"/>
      <w:r w:rsidRPr="003554DD">
        <w:rPr>
          <w:sz w:val="24"/>
          <w:szCs w:val="24"/>
        </w:rPr>
        <w:t xml:space="preserve"> 50 mg x 1 + </w:t>
      </w:r>
      <w:proofErr w:type="spellStart"/>
      <w:r w:rsidRPr="003554DD">
        <w:rPr>
          <w:sz w:val="24"/>
          <w:szCs w:val="24"/>
        </w:rPr>
        <w:t>sulfadiazin</w:t>
      </w:r>
      <w:proofErr w:type="spellEnd"/>
      <w:r w:rsidRPr="003554DD">
        <w:rPr>
          <w:sz w:val="24"/>
          <w:szCs w:val="24"/>
        </w:rPr>
        <w:t xml:space="preserve"> </w:t>
      </w:r>
      <w:r w:rsidR="00A24AC7">
        <w:rPr>
          <w:sz w:val="24"/>
          <w:szCs w:val="24"/>
        </w:rPr>
        <w:t>(</w:t>
      </w:r>
      <w:r w:rsidRPr="003554DD">
        <w:rPr>
          <w:sz w:val="24"/>
          <w:szCs w:val="24"/>
        </w:rPr>
        <w:t xml:space="preserve">licensläkemedel) 1000 mg x 4 + </w:t>
      </w:r>
      <w:proofErr w:type="spellStart"/>
      <w:r w:rsidRPr="003554DD">
        <w:rPr>
          <w:sz w:val="24"/>
          <w:szCs w:val="24"/>
        </w:rPr>
        <w:t>folinsyra</w:t>
      </w:r>
      <w:proofErr w:type="spellEnd"/>
      <w:r w:rsidRPr="003554DD">
        <w:rPr>
          <w:sz w:val="24"/>
          <w:szCs w:val="24"/>
        </w:rPr>
        <w:t xml:space="preserve"> (=</w:t>
      </w:r>
      <w:proofErr w:type="spellStart"/>
      <w:r w:rsidRPr="003554DD">
        <w:rPr>
          <w:sz w:val="24"/>
          <w:szCs w:val="24"/>
        </w:rPr>
        <w:t>calciumfolinat</w:t>
      </w:r>
      <w:proofErr w:type="spellEnd"/>
      <w:r w:rsidRPr="003554DD">
        <w:rPr>
          <w:sz w:val="24"/>
          <w:szCs w:val="24"/>
        </w:rPr>
        <w:t xml:space="preserve">) 15 mg x 1. </w:t>
      </w:r>
    </w:p>
    <w:p w14:paraId="0B3B605C" w14:textId="66D6855A" w:rsidR="003554DD" w:rsidRPr="003554DD" w:rsidRDefault="00182FC2">
      <w:pPr>
        <w:rPr>
          <w:sz w:val="24"/>
          <w:szCs w:val="24"/>
        </w:rPr>
      </w:pPr>
      <w:r w:rsidRPr="003554DD">
        <w:rPr>
          <w:sz w:val="24"/>
          <w:szCs w:val="24"/>
        </w:rPr>
        <w:t xml:space="preserve">Kroppsvikt &gt;60 kg: </w:t>
      </w:r>
      <w:proofErr w:type="spellStart"/>
      <w:r w:rsidRPr="003554DD">
        <w:rPr>
          <w:sz w:val="24"/>
          <w:szCs w:val="24"/>
        </w:rPr>
        <w:t>Pyrimetamin</w:t>
      </w:r>
      <w:proofErr w:type="spellEnd"/>
      <w:r w:rsidRPr="003554DD">
        <w:rPr>
          <w:sz w:val="24"/>
          <w:szCs w:val="24"/>
        </w:rPr>
        <w:t xml:space="preserve"> (Daraprim©, licensläkemedel) 200 mg x 1 som laddningsdos första dagen och därefter </w:t>
      </w:r>
      <w:proofErr w:type="spellStart"/>
      <w:r w:rsidRPr="003554DD">
        <w:rPr>
          <w:sz w:val="24"/>
          <w:szCs w:val="24"/>
        </w:rPr>
        <w:t>pyrimetamin</w:t>
      </w:r>
      <w:proofErr w:type="spellEnd"/>
      <w:r w:rsidRPr="003554DD">
        <w:rPr>
          <w:sz w:val="24"/>
          <w:szCs w:val="24"/>
        </w:rPr>
        <w:t xml:space="preserve"> 75 mg x 1 + </w:t>
      </w:r>
      <w:proofErr w:type="spellStart"/>
      <w:r w:rsidRPr="003554DD">
        <w:rPr>
          <w:sz w:val="24"/>
          <w:szCs w:val="24"/>
        </w:rPr>
        <w:t>sulfadiazin</w:t>
      </w:r>
      <w:proofErr w:type="spellEnd"/>
      <w:r w:rsidRPr="003554DD">
        <w:rPr>
          <w:sz w:val="24"/>
          <w:szCs w:val="24"/>
        </w:rPr>
        <w:t xml:space="preserve"> (licensläkemedel) 1500 mg x 4 + </w:t>
      </w:r>
      <w:proofErr w:type="spellStart"/>
      <w:r w:rsidRPr="003554DD">
        <w:rPr>
          <w:sz w:val="24"/>
          <w:szCs w:val="24"/>
        </w:rPr>
        <w:t>folinsyra</w:t>
      </w:r>
      <w:proofErr w:type="spellEnd"/>
      <w:r w:rsidRPr="003554DD">
        <w:rPr>
          <w:sz w:val="24"/>
          <w:szCs w:val="24"/>
        </w:rPr>
        <w:t xml:space="preserve"> (</w:t>
      </w:r>
      <w:proofErr w:type="spellStart"/>
      <w:r w:rsidR="005C3F27">
        <w:rPr>
          <w:sz w:val="24"/>
          <w:szCs w:val="24"/>
        </w:rPr>
        <w:t>c</w:t>
      </w:r>
      <w:r w:rsidRPr="003554DD">
        <w:rPr>
          <w:sz w:val="24"/>
          <w:szCs w:val="24"/>
        </w:rPr>
        <w:t>alciumfolinat</w:t>
      </w:r>
      <w:proofErr w:type="spellEnd"/>
      <w:r w:rsidRPr="003554DD">
        <w:rPr>
          <w:sz w:val="24"/>
          <w:szCs w:val="24"/>
        </w:rPr>
        <w:t xml:space="preserve">) 15 mg x 1. </w:t>
      </w:r>
    </w:p>
    <w:p w14:paraId="277B8ED6" w14:textId="77777777" w:rsidR="003554DD" w:rsidRPr="00C86DA4" w:rsidRDefault="003554DD">
      <w:pPr>
        <w:rPr>
          <w:sz w:val="24"/>
          <w:szCs w:val="24"/>
          <w:u w:val="single"/>
        </w:rPr>
      </w:pPr>
    </w:p>
    <w:p w14:paraId="1E2F851B" w14:textId="77777777" w:rsidR="003554DD" w:rsidRPr="00C86DA4" w:rsidRDefault="00182FC2">
      <w:pPr>
        <w:rPr>
          <w:sz w:val="24"/>
          <w:szCs w:val="24"/>
          <w:u w:val="single"/>
        </w:rPr>
      </w:pPr>
      <w:r w:rsidRPr="00C86DA4">
        <w:rPr>
          <w:sz w:val="24"/>
          <w:szCs w:val="24"/>
          <w:u w:val="single"/>
        </w:rPr>
        <w:t>Andrahand</w:t>
      </w:r>
      <w:r w:rsidR="003554DD" w:rsidRPr="00C86DA4">
        <w:rPr>
          <w:sz w:val="24"/>
          <w:szCs w:val="24"/>
          <w:u w:val="single"/>
        </w:rPr>
        <w:t>sval</w:t>
      </w:r>
      <w:r w:rsidRPr="00C86DA4">
        <w:rPr>
          <w:sz w:val="24"/>
          <w:szCs w:val="24"/>
          <w:u w:val="single"/>
        </w:rPr>
        <w:t>:</w:t>
      </w:r>
    </w:p>
    <w:p w14:paraId="6E827AA1" w14:textId="6E13A56B" w:rsidR="00C86DA4" w:rsidRPr="00FE0A96" w:rsidRDefault="00C86DA4" w:rsidP="00C86DA4">
      <w:pPr>
        <w:rPr>
          <w:b/>
          <w:bCs/>
          <w:sz w:val="24"/>
          <w:szCs w:val="24"/>
        </w:rPr>
      </w:pPr>
      <w:proofErr w:type="spellStart"/>
      <w:r w:rsidRPr="00C86DA4">
        <w:rPr>
          <w:sz w:val="24"/>
          <w:szCs w:val="24"/>
        </w:rPr>
        <w:t>Trimetoprim</w:t>
      </w:r>
      <w:proofErr w:type="spellEnd"/>
      <w:r w:rsidRPr="00C86DA4">
        <w:rPr>
          <w:sz w:val="24"/>
          <w:szCs w:val="24"/>
        </w:rPr>
        <w:t>/</w:t>
      </w:r>
      <w:proofErr w:type="spellStart"/>
      <w:r w:rsidRPr="00C86DA4">
        <w:rPr>
          <w:sz w:val="24"/>
          <w:szCs w:val="24"/>
        </w:rPr>
        <w:t>sulfametoxazol</w:t>
      </w:r>
      <w:proofErr w:type="spellEnd"/>
      <w:r w:rsidRPr="00C86DA4">
        <w:rPr>
          <w:sz w:val="24"/>
          <w:szCs w:val="24"/>
        </w:rPr>
        <w:t xml:space="preserve"> (</w:t>
      </w:r>
      <w:proofErr w:type="spellStart"/>
      <w:r w:rsidRPr="00C86DA4">
        <w:rPr>
          <w:sz w:val="24"/>
          <w:szCs w:val="24"/>
        </w:rPr>
        <w:t>Bactrim</w:t>
      </w:r>
      <w:proofErr w:type="spellEnd"/>
      <w:r w:rsidRPr="00C86DA4">
        <w:rPr>
          <w:sz w:val="24"/>
          <w:szCs w:val="24"/>
        </w:rPr>
        <w:t xml:space="preserve">©, </w:t>
      </w:r>
      <w:proofErr w:type="spellStart"/>
      <w:r w:rsidRPr="00C86DA4">
        <w:rPr>
          <w:sz w:val="24"/>
          <w:szCs w:val="24"/>
        </w:rPr>
        <w:t>Eusaprim</w:t>
      </w:r>
      <w:proofErr w:type="spellEnd"/>
      <w:r w:rsidRPr="00C86DA4">
        <w:rPr>
          <w:sz w:val="24"/>
          <w:szCs w:val="24"/>
        </w:rPr>
        <w:t xml:space="preserve">©) i doseringen </w:t>
      </w:r>
      <w:proofErr w:type="spellStart"/>
      <w:r w:rsidRPr="00C86DA4">
        <w:rPr>
          <w:sz w:val="24"/>
          <w:szCs w:val="24"/>
        </w:rPr>
        <w:t>trimetoprim</w:t>
      </w:r>
      <w:proofErr w:type="spellEnd"/>
      <w:r w:rsidRPr="00C86DA4">
        <w:rPr>
          <w:sz w:val="24"/>
          <w:szCs w:val="24"/>
        </w:rPr>
        <w:t xml:space="preserve"> 5-10 mg/kg x 2</w:t>
      </w:r>
    </w:p>
    <w:p w14:paraId="3481A831" w14:textId="02BDDBCE" w:rsidR="005C3F27" w:rsidRDefault="005C3F27" w:rsidP="005C3F27">
      <w:pPr>
        <w:rPr>
          <w:sz w:val="24"/>
          <w:szCs w:val="24"/>
        </w:rPr>
      </w:pPr>
    </w:p>
    <w:p w14:paraId="48A630E6" w14:textId="39A0FB3B" w:rsidR="00C86DA4" w:rsidRPr="00C86DA4" w:rsidRDefault="00C86DA4" w:rsidP="005C3F27">
      <w:pPr>
        <w:rPr>
          <w:sz w:val="24"/>
          <w:szCs w:val="24"/>
          <w:u w:val="single"/>
        </w:rPr>
      </w:pPr>
      <w:r w:rsidRPr="00C86DA4">
        <w:rPr>
          <w:sz w:val="24"/>
          <w:szCs w:val="24"/>
          <w:u w:val="single"/>
        </w:rPr>
        <w:t>Tredjehandsval:</w:t>
      </w:r>
    </w:p>
    <w:p w14:paraId="2710B291" w14:textId="053268C2" w:rsidR="005C3F27" w:rsidRDefault="006A39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Pr="003554DD">
        <w:rPr>
          <w:sz w:val="24"/>
          <w:szCs w:val="24"/>
        </w:rPr>
        <w:t>yrimetamin</w:t>
      </w:r>
      <w:proofErr w:type="spellEnd"/>
      <w:r w:rsidRPr="003554DD">
        <w:rPr>
          <w:sz w:val="24"/>
          <w:szCs w:val="24"/>
        </w:rPr>
        <w:t xml:space="preserve"> (Daraprim©, licensläkemedel) 200 mg x 1 som laddningsdos första dagen och därefter </w:t>
      </w:r>
      <w:proofErr w:type="spellStart"/>
      <w:r w:rsidRPr="003554DD">
        <w:rPr>
          <w:sz w:val="24"/>
          <w:szCs w:val="24"/>
        </w:rPr>
        <w:t>pyrimetamin</w:t>
      </w:r>
      <w:proofErr w:type="spellEnd"/>
      <w:r w:rsidRPr="003554DD">
        <w:rPr>
          <w:sz w:val="24"/>
          <w:szCs w:val="24"/>
        </w:rPr>
        <w:t xml:space="preserve"> 50 mg x 1 om vikt ≤60 kg och 75 mg x 1 om vikt &gt;60 kg + </w:t>
      </w:r>
      <w:proofErr w:type="spellStart"/>
      <w:r w:rsidRPr="003554DD">
        <w:rPr>
          <w:sz w:val="24"/>
          <w:szCs w:val="24"/>
        </w:rPr>
        <w:t>folinsyra</w:t>
      </w:r>
      <w:proofErr w:type="spellEnd"/>
      <w:r w:rsidRPr="003554DD">
        <w:rPr>
          <w:sz w:val="24"/>
          <w:szCs w:val="24"/>
        </w:rPr>
        <w:t xml:space="preserve"> (=</w:t>
      </w:r>
      <w:proofErr w:type="spellStart"/>
      <w:r w:rsidRPr="003554DD">
        <w:rPr>
          <w:sz w:val="24"/>
          <w:szCs w:val="24"/>
        </w:rPr>
        <w:t>calciumfolinat</w:t>
      </w:r>
      <w:proofErr w:type="spellEnd"/>
      <w:r w:rsidRPr="003554DD">
        <w:rPr>
          <w:sz w:val="24"/>
          <w:szCs w:val="24"/>
        </w:rPr>
        <w:t xml:space="preserve">) </w:t>
      </w:r>
      <w:r>
        <w:rPr>
          <w:sz w:val="24"/>
          <w:szCs w:val="24"/>
        </w:rPr>
        <w:t>1</w:t>
      </w:r>
      <w:r w:rsidRPr="003554DD">
        <w:rPr>
          <w:sz w:val="24"/>
          <w:szCs w:val="24"/>
        </w:rPr>
        <w:t>5 mg x 1</w:t>
      </w:r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k</w:t>
      </w:r>
      <w:r w:rsidR="00182FC2" w:rsidRPr="003554DD">
        <w:rPr>
          <w:sz w:val="24"/>
          <w:szCs w:val="24"/>
        </w:rPr>
        <w:t>lindamycin</w:t>
      </w:r>
      <w:proofErr w:type="spellEnd"/>
      <w:r w:rsidR="00182FC2" w:rsidRPr="003554DD">
        <w:rPr>
          <w:sz w:val="24"/>
          <w:szCs w:val="24"/>
        </w:rPr>
        <w:t xml:space="preserve"> iv el </w:t>
      </w:r>
      <w:proofErr w:type="spellStart"/>
      <w:r w:rsidR="00182FC2" w:rsidRPr="003554DD">
        <w:rPr>
          <w:sz w:val="24"/>
          <w:szCs w:val="24"/>
        </w:rPr>
        <w:t>po</w:t>
      </w:r>
      <w:proofErr w:type="spellEnd"/>
      <w:r w:rsidR="00182FC2" w:rsidRPr="003554DD">
        <w:rPr>
          <w:sz w:val="24"/>
          <w:szCs w:val="24"/>
        </w:rPr>
        <w:t xml:space="preserve"> 600 mg x 4</w:t>
      </w:r>
    </w:p>
    <w:p w14:paraId="79E9A075" w14:textId="77777777" w:rsidR="006A39FC" w:rsidRDefault="006A39FC">
      <w:pPr>
        <w:rPr>
          <w:sz w:val="24"/>
          <w:szCs w:val="24"/>
        </w:rPr>
      </w:pPr>
    </w:p>
    <w:p w14:paraId="48D5F74A" w14:textId="23371D8F" w:rsidR="003554DD" w:rsidRDefault="006A39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Pr="00182FC2">
        <w:rPr>
          <w:sz w:val="24"/>
          <w:szCs w:val="24"/>
        </w:rPr>
        <w:t>yrimetamin</w:t>
      </w:r>
      <w:proofErr w:type="spellEnd"/>
      <w:r w:rsidRPr="00182FC2">
        <w:rPr>
          <w:sz w:val="24"/>
          <w:szCs w:val="24"/>
        </w:rPr>
        <w:t xml:space="preserve"> (Daraprim©, licensläkemedel) 200 mg x 1 som laddningsdos första dagen och därefter </w:t>
      </w:r>
      <w:proofErr w:type="spellStart"/>
      <w:r w:rsidRPr="00182FC2">
        <w:rPr>
          <w:sz w:val="24"/>
          <w:szCs w:val="24"/>
        </w:rPr>
        <w:t>pyrimetamin</w:t>
      </w:r>
      <w:proofErr w:type="spellEnd"/>
      <w:r w:rsidRPr="00182FC2">
        <w:rPr>
          <w:sz w:val="24"/>
          <w:szCs w:val="24"/>
        </w:rPr>
        <w:t xml:space="preserve"> 50 mg x 1 om vikt ≤60 kg och 75 mg x 1 om vikt &gt;60 kg + </w:t>
      </w:r>
      <w:proofErr w:type="spellStart"/>
      <w:r w:rsidRPr="00182FC2">
        <w:rPr>
          <w:sz w:val="24"/>
          <w:szCs w:val="24"/>
        </w:rPr>
        <w:t>folinsyra</w:t>
      </w:r>
      <w:proofErr w:type="spellEnd"/>
      <w:r w:rsidRPr="00182FC2">
        <w:rPr>
          <w:sz w:val="24"/>
          <w:szCs w:val="24"/>
        </w:rPr>
        <w:t xml:space="preserve"> (=</w:t>
      </w:r>
      <w:proofErr w:type="spellStart"/>
      <w:r w:rsidRPr="00182FC2">
        <w:rPr>
          <w:sz w:val="24"/>
          <w:szCs w:val="24"/>
        </w:rPr>
        <w:t>calciumfolinate</w:t>
      </w:r>
      <w:proofErr w:type="spellEnd"/>
      <w:r w:rsidRPr="00182FC2">
        <w:rPr>
          <w:sz w:val="24"/>
          <w:szCs w:val="24"/>
        </w:rPr>
        <w:t>) 15 mg x 1</w:t>
      </w:r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a</w:t>
      </w:r>
      <w:r w:rsidR="00182FC2" w:rsidRPr="00182FC2">
        <w:rPr>
          <w:sz w:val="24"/>
          <w:szCs w:val="24"/>
        </w:rPr>
        <w:t>tovakvon</w:t>
      </w:r>
      <w:proofErr w:type="spellEnd"/>
      <w:r w:rsidR="00182FC2" w:rsidRPr="00182FC2">
        <w:rPr>
          <w:sz w:val="24"/>
          <w:szCs w:val="24"/>
        </w:rPr>
        <w:t xml:space="preserve"> (</w:t>
      </w:r>
      <w:proofErr w:type="spellStart"/>
      <w:r w:rsidR="00182FC2" w:rsidRPr="00182FC2">
        <w:rPr>
          <w:sz w:val="24"/>
          <w:szCs w:val="24"/>
        </w:rPr>
        <w:t>Wellvone</w:t>
      </w:r>
      <w:proofErr w:type="spellEnd"/>
      <w:r w:rsidR="00182FC2" w:rsidRPr="00182FC2">
        <w:rPr>
          <w:sz w:val="24"/>
          <w:szCs w:val="24"/>
        </w:rPr>
        <w:t>©) 1500 mg x 2</w:t>
      </w:r>
    </w:p>
    <w:p w14:paraId="1475AB41" w14:textId="77777777" w:rsidR="006A39FC" w:rsidRDefault="006A39FC">
      <w:pPr>
        <w:rPr>
          <w:sz w:val="24"/>
          <w:szCs w:val="24"/>
        </w:rPr>
      </w:pPr>
    </w:p>
    <w:p w14:paraId="6EDCA30A" w14:textId="4D70FEBF" w:rsidR="006A39FC" w:rsidRDefault="006A39FC" w:rsidP="006A39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Pr="00182FC2">
        <w:rPr>
          <w:sz w:val="24"/>
          <w:szCs w:val="24"/>
        </w:rPr>
        <w:t>yrimetamin</w:t>
      </w:r>
      <w:proofErr w:type="spellEnd"/>
      <w:r w:rsidRPr="00182FC2">
        <w:rPr>
          <w:sz w:val="24"/>
          <w:szCs w:val="24"/>
        </w:rPr>
        <w:t xml:space="preserve"> (Daraprim©, licensläkemedel) 200 mg x 1 som laddningsdos första dagen och därefter </w:t>
      </w:r>
      <w:proofErr w:type="spellStart"/>
      <w:r w:rsidRPr="00182FC2">
        <w:rPr>
          <w:sz w:val="24"/>
          <w:szCs w:val="24"/>
        </w:rPr>
        <w:t>pyrimetamin</w:t>
      </w:r>
      <w:proofErr w:type="spellEnd"/>
      <w:r w:rsidRPr="00182FC2">
        <w:rPr>
          <w:sz w:val="24"/>
          <w:szCs w:val="24"/>
        </w:rPr>
        <w:t xml:space="preserve"> 50 mg x 1 om vikt ≤60 kg och 75 mg x 1 om vikt &gt;60 kg + </w:t>
      </w:r>
      <w:proofErr w:type="spellStart"/>
      <w:r w:rsidRPr="00182FC2">
        <w:rPr>
          <w:sz w:val="24"/>
          <w:szCs w:val="24"/>
        </w:rPr>
        <w:t>folinsyra</w:t>
      </w:r>
      <w:proofErr w:type="spellEnd"/>
      <w:r w:rsidRPr="00182FC2">
        <w:rPr>
          <w:sz w:val="24"/>
          <w:szCs w:val="24"/>
        </w:rPr>
        <w:t xml:space="preserve"> (=</w:t>
      </w:r>
      <w:proofErr w:type="spellStart"/>
      <w:r w:rsidRPr="00182FC2">
        <w:rPr>
          <w:sz w:val="24"/>
          <w:szCs w:val="24"/>
        </w:rPr>
        <w:t>calciumfolinate</w:t>
      </w:r>
      <w:proofErr w:type="spellEnd"/>
      <w:r w:rsidRPr="00182FC2">
        <w:rPr>
          <w:sz w:val="24"/>
          <w:szCs w:val="24"/>
        </w:rPr>
        <w:t>) 15 mg x 1</w:t>
      </w:r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azitromcyin</w:t>
      </w:r>
      <w:proofErr w:type="spellEnd"/>
      <w:r>
        <w:rPr>
          <w:sz w:val="24"/>
          <w:szCs w:val="24"/>
        </w:rPr>
        <w:t xml:space="preserve"> 1000 mg x 1</w:t>
      </w:r>
    </w:p>
    <w:p w14:paraId="04313576" w14:textId="77777777" w:rsidR="006A39FC" w:rsidRDefault="006A39FC">
      <w:pPr>
        <w:rPr>
          <w:sz w:val="24"/>
          <w:szCs w:val="24"/>
        </w:rPr>
      </w:pPr>
    </w:p>
    <w:p w14:paraId="71BA9F88" w14:textId="77777777" w:rsidR="003554DD" w:rsidRDefault="00182FC2">
      <w:pPr>
        <w:rPr>
          <w:sz w:val="24"/>
          <w:szCs w:val="24"/>
        </w:rPr>
      </w:pPr>
      <w:proofErr w:type="spellStart"/>
      <w:r w:rsidRPr="00182FC2">
        <w:rPr>
          <w:sz w:val="24"/>
          <w:szCs w:val="24"/>
        </w:rPr>
        <w:t>Atovakvon</w:t>
      </w:r>
      <w:proofErr w:type="spellEnd"/>
      <w:r w:rsidRPr="00182FC2">
        <w:rPr>
          <w:sz w:val="24"/>
          <w:szCs w:val="24"/>
        </w:rPr>
        <w:t xml:space="preserve"> (</w:t>
      </w:r>
      <w:proofErr w:type="spellStart"/>
      <w:r w:rsidRPr="00182FC2">
        <w:rPr>
          <w:sz w:val="24"/>
          <w:szCs w:val="24"/>
        </w:rPr>
        <w:t>Wellvone</w:t>
      </w:r>
      <w:proofErr w:type="spellEnd"/>
      <w:r w:rsidRPr="00182FC2">
        <w:rPr>
          <w:sz w:val="24"/>
          <w:szCs w:val="24"/>
        </w:rPr>
        <w:t xml:space="preserve">©) 1500 mg x 2 + </w:t>
      </w:r>
      <w:proofErr w:type="spellStart"/>
      <w:r w:rsidRPr="00182FC2">
        <w:rPr>
          <w:sz w:val="24"/>
          <w:szCs w:val="24"/>
        </w:rPr>
        <w:t>sulfadiazin</w:t>
      </w:r>
      <w:proofErr w:type="spellEnd"/>
      <w:r w:rsidRPr="00182FC2">
        <w:rPr>
          <w:sz w:val="24"/>
          <w:szCs w:val="24"/>
        </w:rPr>
        <w:t xml:space="preserve"> (</w:t>
      </w:r>
      <w:proofErr w:type="spellStart"/>
      <w:r w:rsidRPr="00182FC2">
        <w:rPr>
          <w:sz w:val="24"/>
          <w:szCs w:val="24"/>
        </w:rPr>
        <w:t>Sulfadiazin-Heyl</w:t>
      </w:r>
      <w:proofErr w:type="spellEnd"/>
      <w:r w:rsidRPr="00182FC2">
        <w:rPr>
          <w:sz w:val="24"/>
          <w:szCs w:val="24"/>
        </w:rPr>
        <w:t xml:space="preserve">©, licensläkemedel) 1000 mg x 4 om ≤60 kg och 1500 mg x 4 om vikt &gt;60 kg. </w:t>
      </w:r>
    </w:p>
    <w:p w14:paraId="60F87FFA" w14:textId="77777777" w:rsidR="003554DD" w:rsidRDefault="003554DD">
      <w:pPr>
        <w:rPr>
          <w:sz w:val="24"/>
          <w:szCs w:val="24"/>
        </w:rPr>
      </w:pPr>
    </w:p>
    <w:p w14:paraId="68F7D2DB" w14:textId="77777777" w:rsidR="003554DD" w:rsidRPr="003554DD" w:rsidRDefault="00182FC2">
      <w:pPr>
        <w:rPr>
          <w:b/>
          <w:bCs/>
          <w:sz w:val="24"/>
          <w:szCs w:val="24"/>
          <w:u w:val="single"/>
        </w:rPr>
      </w:pPr>
      <w:r w:rsidRPr="003554DD">
        <w:rPr>
          <w:b/>
          <w:bCs/>
          <w:sz w:val="24"/>
          <w:szCs w:val="24"/>
          <w:u w:val="single"/>
        </w:rPr>
        <w:t>Sekundär profylax/</w:t>
      </w:r>
      <w:proofErr w:type="spellStart"/>
      <w:r w:rsidRPr="003554DD">
        <w:rPr>
          <w:b/>
          <w:bCs/>
          <w:sz w:val="24"/>
          <w:szCs w:val="24"/>
          <w:u w:val="single"/>
        </w:rPr>
        <w:t>supressionsbehandling</w:t>
      </w:r>
      <w:proofErr w:type="spellEnd"/>
      <w:r w:rsidR="003554DD" w:rsidRPr="003554DD">
        <w:rPr>
          <w:b/>
          <w:bCs/>
          <w:sz w:val="24"/>
          <w:szCs w:val="24"/>
          <w:u w:val="single"/>
        </w:rPr>
        <w:t>:</w:t>
      </w:r>
      <w:r w:rsidRPr="003554DD">
        <w:rPr>
          <w:b/>
          <w:bCs/>
          <w:sz w:val="24"/>
          <w:szCs w:val="24"/>
          <w:u w:val="single"/>
        </w:rPr>
        <w:t xml:space="preserve"> </w:t>
      </w:r>
    </w:p>
    <w:p w14:paraId="17FAEB65" w14:textId="77777777" w:rsidR="003554DD" w:rsidRDefault="00182FC2">
      <w:pPr>
        <w:rPr>
          <w:sz w:val="24"/>
          <w:szCs w:val="24"/>
        </w:rPr>
      </w:pPr>
      <w:r w:rsidRPr="00182FC2">
        <w:rPr>
          <w:sz w:val="24"/>
          <w:szCs w:val="24"/>
        </w:rPr>
        <w:t>För patienter med HIV ges sekundär profylax tills ART pågått i minst 6 månader och CD4 &gt;200</w:t>
      </w:r>
      <w:r w:rsidR="003554DD">
        <w:rPr>
          <w:sz w:val="24"/>
          <w:szCs w:val="24"/>
        </w:rPr>
        <w:t>.</w:t>
      </w:r>
      <w:r w:rsidRPr="00182FC2">
        <w:rPr>
          <w:sz w:val="24"/>
          <w:szCs w:val="24"/>
        </w:rPr>
        <w:t xml:space="preserve"> </w:t>
      </w:r>
      <w:r w:rsidR="003554DD">
        <w:rPr>
          <w:sz w:val="24"/>
          <w:szCs w:val="24"/>
        </w:rPr>
        <w:t>F</w:t>
      </w:r>
      <w:r w:rsidRPr="00182FC2">
        <w:rPr>
          <w:sz w:val="24"/>
          <w:szCs w:val="24"/>
        </w:rPr>
        <w:t>ör icke-HIV patienter finns mycket lite data</w:t>
      </w:r>
      <w:r w:rsidR="003554DD">
        <w:rPr>
          <w:sz w:val="24"/>
          <w:szCs w:val="24"/>
        </w:rPr>
        <w:t xml:space="preserve"> och durationen b</w:t>
      </w:r>
      <w:r w:rsidRPr="00182FC2">
        <w:rPr>
          <w:sz w:val="24"/>
          <w:szCs w:val="24"/>
        </w:rPr>
        <w:t xml:space="preserve">eror på graden av fortsatt </w:t>
      </w:r>
      <w:proofErr w:type="spellStart"/>
      <w:r w:rsidRPr="00182FC2">
        <w:rPr>
          <w:sz w:val="24"/>
          <w:szCs w:val="24"/>
        </w:rPr>
        <w:t>immunuppression</w:t>
      </w:r>
      <w:proofErr w:type="spellEnd"/>
      <w:r w:rsidRPr="00182FC2">
        <w:rPr>
          <w:sz w:val="24"/>
          <w:szCs w:val="24"/>
        </w:rPr>
        <w:t xml:space="preserve">, främst kronisk GVHD. </w:t>
      </w:r>
    </w:p>
    <w:p w14:paraId="5F750ADC" w14:textId="77777777" w:rsidR="003554DD" w:rsidRDefault="003554DD">
      <w:pPr>
        <w:rPr>
          <w:i/>
          <w:iCs/>
          <w:sz w:val="24"/>
          <w:szCs w:val="24"/>
        </w:rPr>
      </w:pPr>
    </w:p>
    <w:p w14:paraId="7D6D1030" w14:textId="273D3E60" w:rsidR="003554DD" w:rsidRPr="003554DD" w:rsidRDefault="00182FC2">
      <w:pPr>
        <w:rPr>
          <w:i/>
          <w:iCs/>
          <w:sz w:val="24"/>
          <w:szCs w:val="24"/>
        </w:rPr>
      </w:pPr>
      <w:r w:rsidRPr="003554DD">
        <w:rPr>
          <w:i/>
          <w:iCs/>
          <w:sz w:val="24"/>
          <w:szCs w:val="24"/>
        </w:rPr>
        <w:t>Förstahand</w:t>
      </w:r>
      <w:r w:rsidR="003554DD">
        <w:rPr>
          <w:i/>
          <w:iCs/>
          <w:sz w:val="24"/>
          <w:szCs w:val="24"/>
        </w:rPr>
        <w:t>sval</w:t>
      </w:r>
      <w:r w:rsidRPr="003554DD">
        <w:rPr>
          <w:i/>
          <w:iCs/>
          <w:sz w:val="24"/>
          <w:szCs w:val="24"/>
        </w:rPr>
        <w:t xml:space="preserve">: </w:t>
      </w:r>
    </w:p>
    <w:p w14:paraId="1A9A2050" w14:textId="1EF06250" w:rsidR="003554DD" w:rsidRDefault="00182FC2">
      <w:pPr>
        <w:rPr>
          <w:sz w:val="24"/>
          <w:szCs w:val="24"/>
        </w:rPr>
      </w:pPr>
      <w:proofErr w:type="spellStart"/>
      <w:r w:rsidRPr="00182FC2">
        <w:rPr>
          <w:sz w:val="24"/>
          <w:szCs w:val="24"/>
        </w:rPr>
        <w:t>Pyrimetamin</w:t>
      </w:r>
      <w:proofErr w:type="spellEnd"/>
      <w:r w:rsidRPr="00182FC2">
        <w:rPr>
          <w:sz w:val="24"/>
          <w:szCs w:val="24"/>
        </w:rPr>
        <w:t xml:space="preserve"> (Daraprim©, licensläkemedel) 25-50 mg x 1 + </w:t>
      </w:r>
      <w:proofErr w:type="spellStart"/>
      <w:r w:rsidRPr="00182FC2">
        <w:rPr>
          <w:sz w:val="24"/>
          <w:szCs w:val="24"/>
        </w:rPr>
        <w:t>sulfadiazin</w:t>
      </w:r>
      <w:proofErr w:type="spellEnd"/>
      <w:r w:rsidRPr="00182FC2">
        <w:rPr>
          <w:sz w:val="24"/>
          <w:szCs w:val="24"/>
        </w:rPr>
        <w:t xml:space="preserve"> (</w:t>
      </w:r>
      <w:proofErr w:type="spellStart"/>
      <w:r w:rsidRPr="00182FC2">
        <w:rPr>
          <w:sz w:val="24"/>
          <w:szCs w:val="24"/>
        </w:rPr>
        <w:t>Sulfadiazin-Heyl</w:t>
      </w:r>
      <w:proofErr w:type="spellEnd"/>
      <w:r w:rsidRPr="00182FC2">
        <w:rPr>
          <w:sz w:val="24"/>
          <w:szCs w:val="24"/>
        </w:rPr>
        <w:t>©, licensläkemedel) 1000</w:t>
      </w:r>
      <w:r w:rsidR="00386019">
        <w:rPr>
          <w:sz w:val="24"/>
          <w:szCs w:val="24"/>
        </w:rPr>
        <w:t>-1500</w:t>
      </w:r>
      <w:r w:rsidRPr="00182FC2">
        <w:rPr>
          <w:sz w:val="24"/>
          <w:szCs w:val="24"/>
        </w:rPr>
        <w:t xml:space="preserve"> mg x 2 + </w:t>
      </w:r>
      <w:proofErr w:type="spellStart"/>
      <w:r w:rsidRPr="00182FC2">
        <w:rPr>
          <w:sz w:val="24"/>
          <w:szCs w:val="24"/>
        </w:rPr>
        <w:t>folinsyra</w:t>
      </w:r>
      <w:proofErr w:type="spellEnd"/>
      <w:r w:rsidRPr="00182FC2">
        <w:rPr>
          <w:sz w:val="24"/>
          <w:szCs w:val="24"/>
        </w:rPr>
        <w:t xml:space="preserve"> (=</w:t>
      </w:r>
      <w:proofErr w:type="spellStart"/>
      <w:r w:rsidRPr="00182FC2">
        <w:rPr>
          <w:sz w:val="24"/>
          <w:szCs w:val="24"/>
        </w:rPr>
        <w:t>calciumfolinat</w:t>
      </w:r>
      <w:proofErr w:type="spellEnd"/>
      <w:r w:rsidRPr="00182FC2">
        <w:rPr>
          <w:sz w:val="24"/>
          <w:szCs w:val="24"/>
        </w:rPr>
        <w:t>) 15 mg x 1.</w:t>
      </w:r>
    </w:p>
    <w:p w14:paraId="06F8527C" w14:textId="77777777" w:rsidR="002839CE" w:rsidRDefault="002839CE">
      <w:pPr>
        <w:rPr>
          <w:sz w:val="24"/>
          <w:szCs w:val="24"/>
        </w:rPr>
      </w:pPr>
    </w:p>
    <w:p w14:paraId="0AAF6F03" w14:textId="77777777" w:rsidR="002839CE" w:rsidRDefault="002839CE" w:rsidP="002839CE">
      <w:pPr>
        <w:rPr>
          <w:sz w:val="24"/>
          <w:szCs w:val="24"/>
          <w:lang w:val="en-US"/>
        </w:rPr>
      </w:pPr>
      <w:proofErr w:type="spellStart"/>
      <w:r w:rsidRPr="003554DD">
        <w:rPr>
          <w:sz w:val="24"/>
          <w:szCs w:val="24"/>
          <w:lang w:val="en-US"/>
        </w:rPr>
        <w:t>Trimetoprim</w:t>
      </w:r>
      <w:proofErr w:type="spellEnd"/>
      <w:r w:rsidRPr="003554DD">
        <w:rPr>
          <w:sz w:val="24"/>
          <w:szCs w:val="24"/>
          <w:lang w:val="en-US"/>
        </w:rPr>
        <w:t>/</w:t>
      </w:r>
      <w:proofErr w:type="spellStart"/>
      <w:r w:rsidRPr="003554DD">
        <w:rPr>
          <w:sz w:val="24"/>
          <w:szCs w:val="24"/>
          <w:lang w:val="en-US"/>
        </w:rPr>
        <w:t>sulfametoxazol</w:t>
      </w:r>
      <w:proofErr w:type="spellEnd"/>
      <w:r w:rsidRPr="003554DD">
        <w:rPr>
          <w:sz w:val="24"/>
          <w:szCs w:val="24"/>
          <w:lang w:val="en-US"/>
        </w:rPr>
        <w:t xml:space="preserve"> 160 mg/800 mg (Bactrim Forte©, </w:t>
      </w:r>
      <w:proofErr w:type="spellStart"/>
      <w:r w:rsidRPr="003554DD">
        <w:rPr>
          <w:sz w:val="24"/>
          <w:szCs w:val="24"/>
          <w:lang w:val="en-US"/>
        </w:rPr>
        <w:t>Eusaprim</w:t>
      </w:r>
      <w:proofErr w:type="spellEnd"/>
      <w:r w:rsidRPr="003554DD">
        <w:rPr>
          <w:sz w:val="24"/>
          <w:szCs w:val="24"/>
          <w:lang w:val="en-US"/>
        </w:rPr>
        <w:t xml:space="preserve"> Forte©) 1 x 2.</w:t>
      </w:r>
    </w:p>
    <w:p w14:paraId="2DE48161" w14:textId="77777777" w:rsidR="003554DD" w:rsidRPr="002839CE" w:rsidRDefault="003554DD">
      <w:pPr>
        <w:rPr>
          <w:sz w:val="24"/>
          <w:szCs w:val="24"/>
          <w:lang w:val="en-US"/>
        </w:rPr>
      </w:pPr>
    </w:p>
    <w:p w14:paraId="4C37A176" w14:textId="0D3A17D8" w:rsidR="003554DD" w:rsidRPr="003554DD" w:rsidRDefault="003554DD">
      <w:pPr>
        <w:rPr>
          <w:i/>
          <w:iCs/>
          <w:sz w:val="24"/>
          <w:szCs w:val="24"/>
        </w:rPr>
      </w:pPr>
      <w:r w:rsidRPr="003554DD">
        <w:rPr>
          <w:i/>
          <w:iCs/>
          <w:sz w:val="24"/>
          <w:szCs w:val="24"/>
        </w:rPr>
        <w:t>Andrahandsval</w:t>
      </w:r>
      <w:r w:rsidR="00182FC2" w:rsidRPr="003554DD">
        <w:rPr>
          <w:i/>
          <w:iCs/>
          <w:sz w:val="24"/>
          <w:szCs w:val="24"/>
        </w:rPr>
        <w:t>:</w:t>
      </w:r>
    </w:p>
    <w:p w14:paraId="3B179135" w14:textId="40ABB9FE" w:rsidR="003554DD" w:rsidRDefault="00182FC2">
      <w:pPr>
        <w:rPr>
          <w:sz w:val="24"/>
          <w:szCs w:val="24"/>
        </w:rPr>
      </w:pPr>
      <w:proofErr w:type="spellStart"/>
      <w:r w:rsidRPr="00182FC2">
        <w:rPr>
          <w:sz w:val="24"/>
          <w:szCs w:val="24"/>
        </w:rPr>
        <w:lastRenderedPageBreak/>
        <w:t>Klindamycin</w:t>
      </w:r>
      <w:proofErr w:type="spellEnd"/>
      <w:r w:rsidRPr="00182FC2">
        <w:rPr>
          <w:sz w:val="24"/>
          <w:szCs w:val="24"/>
        </w:rPr>
        <w:t xml:space="preserve"> 600 mg x 3 (-4) </w:t>
      </w:r>
      <w:proofErr w:type="spellStart"/>
      <w:r w:rsidRPr="00182FC2">
        <w:rPr>
          <w:sz w:val="24"/>
          <w:szCs w:val="24"/>
        </w:rPr>
        <w:t>po</w:t>
      </w:r>
      <w:proofErr w:type="spellEnd"/>
      <w:r w:rsidRPr="00182FC2">
        <w:rPr>
          <w:sz w:val="24"/>
          <w:szCs w:val="24"/>
        </w:rPr>
        <w:t xml:space="preserve"> + </w:t>
      </w:r>
      <w:proofErr w:type="spellStart"/>
      <w:r w:rsidRPr="00182FC2">
        <w:rPr>
          <w:sz w:val="24"/>
          <w:szCs w:val="24"/>
        </w:rPr>
        <w:t>pyrimetamin</w:t>
      </w:r>
      <w:proofErr w:type="spellEnd"/>
      <w:r w:rsidRPr="00182FC2">
        <w:rPr>
          <w:sz w:val="24"/>
          <w:szCs w:val="24"/>
        </w:rPr>
        <w:t xml:space="preserve"> (Daraprim©, licensläkemedel) </w:t>
      </w:r>
      <w:proofErr w:type="gramStart"/>
      <w:r w:rsidRPr="00182FC2">
        <w:rPr>
          <w:sz w:val="24"/>
          <w:szCs w:val="24"/>
        </w:rPr>
        <w:t>25</w:t>
      </w:r>
      <w:r w:rsidR="00832883">
        <w:rPr>
          <w:sz w:val="24"/>
          <w:szCs w:val="24"/>
        </w:rPr>
        <w:t>-50</w:t>
      </w:r>
      <w:proofErr w:type="gramEnd"/>
      <w:r w:rsidRPr="00182FC2">
        <w:rPr>
          <w:sz w:val="24"/>
          <w:szCs w:val="24"/>
        </w:rPr>
        <w:t xml:space="preserve"> mg x 1 + </w:t>
      </w:r>
      <w:proofErr w:type="spellStart"/>
      <w:r w:rsidRPr="00182FC2">
        <w:rPr>
          <w:sz w:val="24"/>
          <w:szCs w:val="24"/>
        </w:rPr>
        <w:t>folinsyra</w:t>
      </w:r>
      <w:proofErr w:type="spellEnd"/>
      <w:r w:rsidRPr="00182FC2">
        <w:rPr>
          <w:sz w:val="24"/>
          <w:szCs w:val="24"/>
        </w:rPr>
        <w:t xml:space="preserve"> (=</w:t>
      </w:r>
      <w:proofErr w:type="spellStart"/>
      <w:r w:rsidRPr="00182FC2">
        <w:rPr>
          <w:sz w:val="24"/>
          <w:szCs w:val="24"/>
        </w:rPr>
        <w:t>calciumfolinat</w:t>
      </w:r>
      <w:proofErr w:type="spellEnd"/>
      <w:r w:rsidRPr="00182FC2">
        <w:rPr>
          <w:sz w:val="24"/>
          <w:szCs w:val="24"/>
        </w:rPr>
        <w:t>) 15 mg x 1.</w:t>
      </w:r>
    </w:p>
    <w:p w14:paraId="27C74C4D" w14:textId="2317117C" w:rsidR="003554DD" w:rsidRPr="002839CE" w:rsidRDefault="00182FC2">
      <w:pPr>
        <w:rPr>
          <w:sz w:val="24"/>
          <w:szCs w:val="24"/>
        </w:rPr>
      </w:pPr>
      <w:proofErr w:type="spellStart"/>
      <w:r w:rsidRPr="002839CE">
        <w:rPr>
          <w:sz w:val="24"/>
          <w:szCs w:val="24"/>
        </w:rPr>
        <w:t>Atovakvon</w:t>
      </w:r>
      <w:proofErr w:type="spellEnd"/>
      <w:r w:rsidRPr="002839CE">
        <w:rPr>
          <w:sz w:val="24"/>
          <w:szCs w:val="24"/>
        </w:rPr>
        <w:t xml:space="preserve"> (</w:t>
      </w:r>
      <w:proofErr w:type="spellStart"/>
      <w:r w:rsidRPr="002839CE">
        <w:rPr>
          <w:sz w:val="24"/>
          <w:szCs w:val="24"/>
        </w:rPr>
        <w:t>Wellvone</w:t>
      </w:r>
      <w:proofErr w:type="spellEnd"/>
      <w:r w:rsidRPr="002839CE">
        <w:rPr>
          <w:sz w:val="24"/>
          <w:szCs w:val="24"/>
        </w:rPr>
        <w:t xml:space="preserve">©) 750-1500 mg x 2 + </w:t>
      </w:r>
      <w:proofErr w:type="spellStart"/>
      <w:r w:rsidRPr="002839CE">
        <w:rPr>
          <w:sz w:val="24"/>
          <w:szCs w:val="24"/>
        </w:rPr>
        <w:t>pyrimetamin</w:t>
      </w:r>
      <w:proofErr w:type="spellEnd"/>
      <w:r w:rsidRPr="002839CE">
        <w:rPr>
          <w:sz w:val="24"/>
          <w:szCs w:val="24"/>
        </w:rPr>
        <w:t xml:space="preserve"> (Daraprim©, licensläkemedel) 25</w:t>
      </w:r>
      <w:r w:rsidR="008E7881">
        <w:rPr>
          <w:sz w:val="24"/>
          <w:szCs w:val="24"/>
        </w:rPr>
        <w:t>-50</w:t>
      </w:r>
      <w:r w:rsidRPr="002839CE">
        <w:rPr>
          <w:sz w:val="24"/>
          <w:szCs w:val="24"/>
        </w:rPr>
        <w:t xml:space="preserve"> mg x 1 + </w:t>
      </w:r>
      <w:proofErr w:type="spellStart"/>
      <w:r w:rsidRPr="002839CE">
        <w:rPr>
          <w:sz w:val="24"/>
          <w:szCs w:val="24"/>
        </w:rPr>
        <w:t>folinsyra</w:t>
      </w:r>
      <w:proofErr w:type="spellEnd"/>
      <w:r w:rsidRPr="002839CE">
        <w:rPr>
          <w:sz w:val="24"/>
          <w:szCs w:val="24"/>
        </w:rPr>
        <w:t xml:space="preserve"> (=</w:t>
      </w:r>
      <w:proofErr w:type="spellStart"/>
      <w:r w:rsidRPr="002839CE">
        <w:rPr>
          <w:sz w:val="24"/>
          <w:szCs w:val="24"/>
        </w:rPr>
        <w:t>calciumfolinat</w:t>
      </w:r>
      <w:proofErr w:type="spellEnd"/>
      <w:r w:rsidRPr="002839CE">
        <w:rPr>
          <w:sz w:val="24"/>
          <w:szCs w:val="24"/>
        </w:rPr>
        <w:t>) 15 mg x 1.</w:t>
      </w:r>
    </w:p>
    <w:p w14:paraId="231A2E34" w14:textId="159C538D" w:rsidR="003554DD" w:rsidRDefault="00182FC2">
      <w:pPr>
        <w:rPr>
          <w:sz w:val="24"/>
          <w:szCs w:val="24"/>
          <w:lang w:val="en-US"/>
        </w:rPr>
      </w:pPr>
      <w:proofErr w:type="spellStart"/>
      <w:r w:rsidRPr="00182FC2">
        <w:rPr>
          <w:sz w:val="24"/>
          <w:szCs w:val="24"/>
          <w:lang w:val="en-US"/>
        </w:rPr>
        <w:t>Atovakvon</w:t>
      </w:r>
      <w:proofErr w:type="spellEnd"/>
      <w:r w:rsidRPr="00182FC2">
        <w:rPr>
          <w:sz w:val="24"/>
          <w:szCs w:val="24"/>
          <w:lang w:val="en-US"/>
        </w:rPr>
        <w:t xml:space="preserve"> (</w:t>
      </w:r>
      <w:proofErr w:type="spellStart"/>
      <w:r w:rsidRPr="00182FC2">
        <w:rPr>
          <w:sz w:val="24"/>
          <w:szCs w:val="24"/>
          <w:lang w:val="en-US"/>
        </w:rPr>
        <w:t>Wellvone</w:t>
      </w:r>
      <w:proofErr w:type="spellEnd"/>
      <w:r w:rsidRPr="00182FC2">
        <w:rPr>
          <w:sz w:val="24"/>
          <w:szCs w:val="24"/>
          <w:lang w:val="en-US"/>
        </w:rPr>
        <w:t xml:space="preserve">©) 750-1500 mg x 2 + </w:t>
      </w:r>
      <w:proofErr w:type="spellStart"/>
      <w:r w:rsidRPr="00182FC2">
        <w:rPr>
          <w:sz w:val="24"/>
          <w:szCs w:val="24"/>
          <w:lang w:val="en-US"/>
        </w:rPr>
        <w:t>sulfadiazin</w:t>
      </w:r>
      <w:proofErr w:type="spellEnd"/>
      <w:r w:rsidRPr="00182FC2">
        <w:rPr>
          <w:sz w:val="24"/>
          <w:szCs w:val="24"/>
          <w:lang w:val="en-US"/>
        </w:rPr>
        <w:t xml:space="preserve"> (</w:t>
      </w:r>
      <w:proofErr w:type="spellStart"/>
      <w:r w:rsidRPr="00182FC2">
        <w:rPr>
          <w:sz w:val="24"/>
          <w:szCs w:val="24"/>
          <w:lang w:val="en-US"/>
        </w:rPr>
        <w:t>Sulfadiazin-Heyl</w:t>
      </w:r>
      <w:proofErr w:type="spellEnd"/>
      <w:r w:rsidRPr="00182FC2">
        <w:rPr>
          <w:sz w:val="24"/>
          <w:szCs w:val="24"/>
          <w:lang w:val="en-US"/>
        </w:rPr>
        <w:t xml:space="preserve">©, </w:t>
      </w:r>
      <w:proofErr w:type="spellStart"/>
      <w:r w:rsidRPr="00182FC2">
        <w:rPr>
          <w:sz w:val="24"/>
          <w:szCs w:val="24"/>
          <w:lang w:val="en-US"/>
        </w:rPr>
        <w:t>licensläkemedel</w:t>
      </w:r>
      <w:proofErr w:type="spellEnd"/>
      <w:r w:rsidRPr="00182FC2">
        <w:rPr>
          <w:sz w:val="24"/>
          <w:szCs w:val="24"/>
          <w:lang w:val="en-US"/>
        </w:rPr>
        <w:t>) 1000</w:t>
      </w:r>
      <w:r w:rsidR="00386019">
        <w:rPr>
          <w:sz w:val="24"/>
          <w:szCs w:val="24"/>
          <w:lang w:val="en-US"/>
        </w:rPr>
        <w:t>-1500</w:t>
      </w:r>
      <w:r w:rsidRPr="00182FC2">
        <w:rPr>
          <w:sz w:val="24"/>
          <w:szCs w:val="24"/>
          <w:lang w:val="en-US"/>
        </w:rPr>
        <w:t xml:space="preserve"> mg x 2. </w:t>
      </w:r>
    </w:p>
    <w:p w14:paraId="3528E4C4" w14:textId="77777777" w:rsidR="003554DD" w:rsidRDefault="003554DD">
      <w:pPr>
        <w:rPr>
          <w:sz w:val="24"/>
          <w:szCs w:val="24"/>
          <w:lang w:val="en-US"/>
        </w:rPr>
      </w:pPr>
    </w:p>
    <w:p w14:paraId="6E7A05E3" w14:textId="5AE6B759" w:rsidR="005C3F27" w:rsidRPr="00AD3472" w:rsidRDefault="00182FC2" w:rsidP="005C3F27">
      <w:pPr>
        <w:rPr>
          <w:b/>
          <w:bCs/>
          <w:sz w:val="24"/>
          <w:szCs w:val="24"/>
          <w:u w:val="single"/>
        </w:rPr>
      </w:pPr>
      <w:r w:rsidRPr="00AD3472">
        <w:rPr>
          <w:b/>
          <w:bCs/>
          <w:sz w:val="24"/>
          <w:szCs w:val="24"/>
          <w:u w:val="single"/>
        </w:rPr>
        <w:t>Referenser</w:t>
      </w:r>
      <w:r w:rsidR="003554DD" w:rsidRPr="00AD3472">
        <w:rPr>
          <w:b/>
          <w:bCs/>
          <w:sz w:val="24"/>
          <w:szCs w:val="24"/>
          <w:u w:val="single"/>
        </w:rPr>
        <w:t>:</w:t>
      </w:r>
    </w:p>
    <w:p w14:paraId="157BC7CF" w14:textId="6907546D" w:rsidR="00386019" w:rsidRDefault="00386019" w:rsidP="00386019">
      <w:pPr>
        <w:rPr>
          <w:sz w:val="24"/>
          <w:szCs w:val="24"/>
        </w:rPr>
      </w:pPr>
      <w:r>
        <w:rPr>
          <w:sz w:val="24"/>
          <w:szCs w:val="24"/>
        </w:rPr>
        <w:t xml:space="preserve">Amerikanska HIV-riktlinjer: </w:t>
      </w:r>
      <w:r w:rsidRPr="00386019">
        <w:rPr>
          <w:sz w:val="24"/>
          <w:szCs w:val="24"/>
        </w:rPr>
        <w:t xml:space="preserve">https://clinicalinfo.hiv.gov/en/guidelines/hiv-clinical-guidelines-adult-and-adolescent-opportunistic-infections/toxoplasma-gondii?view=full </w:t>
      </w:r>
    </w:p>
    <w:p w14:paraId="01124E42" w14:textId="2492D66B" w:rsidR="00386019" w:rsidRDefault="00386019" w:rsidP="00386019">
      <w:pPr>
        <w:rPr>
          <w:sz w:val="24"/>
          <w:szCs w:val="24"/>
        </w:rPr>
      </w:pPr>
      <w:r w:rsidRPr="00386019">
        <w:rPr>
          <w:sz w:val="24"/>
          <w:szCs w:val="24"/>
        </w:rPr>
        <w:t xml:space="preserve">Europeiska HIV-riktlinjer: </w:t>
      </w:r>
      <w:hyperlink r:id="rId9" w:history="1">
        <w:r w:rsidR="00F205A1" w:rsidRPr="00EA28FB">
          <w:rPr>
            <w:rStyle w:val="Hyperlnk"/>
            <w:sz w:val="24"/>
            <w:szCs w:val="24"/>
          </w:rPr>
          <w:t>https://eacs.sanfordguide.com/</w:t>
        </w:r>
      </w:hyperlink>
    </w:p>
    <w:p w14:paraId="1647AE05" w14:textId="345194F2" w:rsidR="00F205A1" w:rsidRDefault="00F205A1" w:rsidP="00386019">
      <w:pPr>
        <w:rPr>
          <w:sz w:val="24"/>
          <w:szCs w:val="24"/>
        </w:rPr>
      </w:pPr>
      <w:r w:rsidRPr="00F205A1">
        <w:rPr>
          <w:sz w:val="24"/>
          <w:szCs w:val="24"/>
        </w:rPr>
        <w:t xml:space="preserve">EBMT </w:t>
      </w:r>
      <w:proofErr w:type="spellStart"/>
      <w:r w:rsidRPr="00F205A1">
        <w:rPr>
          <w:sz w:val="24"/>
          <w:szCs w:val="24"/>
        </w:rPr>
        <w:t>Handbook</w:t>
      </w:r>
      <w:proofErr w:type="spellEnd"/>
      <w:r w:rsidRPr="00F205A1">
        <w:rPr>
          <w:sz w:val="24"/>
          <w:szCs w:val="24"/>
        </w:rPr>
        <w:t>, 2019:</w:t>
      </w:r>
      <w:r>
        <w:rPr>
          <w:sz w:val="24"/>
          <w:szCs w:val="24"/>
        </w:rPr>
        <w:t xml:space="preserve"> </w:t>
      </w:r>
      <w:hyperlink r:id="rId10" w:history="1">
        <w:r w:rsidRPr="00EA28FB">
          <w:rPr>
            <w:rStyle w:val="Hyperlnk"/>
            <w:sz w:val="24"/>
            <w:szCs w:val="24"/>
          </w:rPr>
          <w:t>https://www.ebmt.org/education/ebmt-handbook</w:t>
        </w:r>
      </w:hyperlink>
    </w:p>
    <w:p w14:paraId="0FDA1FD3" w14:textId="77777777" w:rsidR="00F205A1" w:rsidRPr="00F205A1" w:rsidRDefault="00F205A1" w:rsidP="00386019">
      <w:pPr>
        <w:rPr>
          <w:sz w:val="24"/>
          <w:szCs w:val="24"/>
        </w:rPr>
      </w:pPr>
    </w:p>
    <w:p w14:paraId="3BE984F4" w14:textId="2B43F065" w:rsidR="005C3F27" w:rsidRPr="009547E2" w:rsidRDefault="00F205A1" w:rsidP="005C3F27">
      <w:pPr>
        <w:rPr>
          <w:sz w:val="24"/>
          <w:szCs w:val="24"/>
          <w:lang w:val="en-US"/>
        </w:rPr>
      </w:pPr>
      <w:proofErr w:type="spellStart"/>
      <w:r w:rsidRPr="00182FC2">
        <w:rPr>
          <w:sz w:val="24"/>
          <w:szCs w:val="24"/>
          <w:lang w:val="en-US"/>
        </w:rPr>
        <w:t>Derouin</w:t>
      </w:r>
      <w:proofErr w:type="spellEnd"/>
      <w:r w:rsidRPr="00182FC2">
        <w:rPr>
          <w:sz w:val="24"/>
          <w:szCs w:val="24"/>
          <w:lang w:val="en-US"/>
        </w:rPr>
        <w:t xml:space="preserve"> F, </w:t>
      </w:r>
      <w:proofErr w:type="spellStart"/>
      <w:r w:rsidRPr="00182FC2">
        <w:rPr>
          <w:sz w:val="24"/>
          <w:szCs w:val="24"/>
          <w:lang w:val="en-US"/>
        </w:rPr>
        <w:t>Pelloux</w:t>
      </w:r>
      <w:proofErr w:type="spellEnd"/>
      <w:r w:rsidRPr="00182FC2">
        <w:rPr>
          <w:sz w:val="24"/>
          <w:szCs w:val="24"/>
          <w:lang w:val="en-US"/>
        </w:rPr>
        <w:t xml:space="preserve"> H. Prevention of toxoplasmosis in transplant patients. Clin Microbiol Infect. 2008;14:1089-1101</w:t>
      </w:r>
      <w:r w:rsidR="005C3F27" w:rsidRPr="00182FC2">
        <w:rPr>
          <w:sz w:val="24"/>
          <w:szCs w:val="24"/>
          <w:lang w:val="en-US"/>
        </w:rPr>
        <w:t xml:space="preserve">Gajurel K, Dhakal R, Montoya JG. Toxoplasma prophylaxis in </w:t>
      </w:r>
      <w:proofErr w:type="spellStart"/>
      <w:r w:rsidR="005C3F27" w:rsidRPr="00182FC2">
        <w:rPr>
          <w:sz w:val="24"/>
          <w:szCs w:val="24"/>
          <w:lang w:val="en-US"/>
        </w:rPr>
        <w:t>haematopoietic</w:t>
      </w:r>
      <w:proofErr w:type="spellEnd"/>
      <w:r w:rsidR="005C3F27" w:rsidRPr="00182FC2">
        <w:rPr>
          <w:sz w:val="24"/>
          <w:szCs w:val="24"/>
          <w:lang w:val="en-US"/>
        </w:rPr>
        <w:t xml:space="preserve"> cell transplant recipients: a review of the literature and recommendations. </w:t>
      </w:r>
      <w:proofErr w:type="spellStart"/>
      <w:r w:rsidR="005C3F27" w:rsidRPr="009547E2">
        <w:rPr>
          <w:sz w:val="24"/>
          <w:szCs w:val="24"/>
          <w:lang w:val="en-US"/>
        </w:rPr>
        <w:t>Curr</w:t>
      </w:r>
      <w:proofErr w:type="spellEnd"/>
      <w:r w:rsidR="005C3F27" w:rsidRPr="009547E2">
        <w:rPr>
          <w:sz w:val="24"/>
          <w:szCs w:val="24"/>
          <w:lang w:val="en-US"/>
        </w:rPr>
        <w:t xml:space="preserve"> </w:t>
      </w:r>
      <w:proofErr w:type="spellStart"/>
      <w:r w:rsidR="005C3F27" w:rsidRPr="009547E2">
        <w:rPr>
          <w:sz w:val="24"/>
          <w:szCs w:val="24"/>
          <w:lang w:val="en-US"/>
        </w:rPr>
        <w:t>Opin</w:t>
      </w:r>
      <w:proofErr w:type="spellEnd"/>
      <w:r w:rsidR="005C3F27" w:rsidRPr="009547E2">
        <w:rPr>
          <w:sz w:val="24"/>
          <w:szCs w:val="24"/>
          <w:lang w:val="en-US"/>
        </w:rPr>
        <w:t xml:space="preserve"> Infect Dis. 2015;28:283-292.</w:t>
      </w:r>
    </w:p>
    <w:p w14:paraId="516D1D97" w14:textId="77777777" w:rsidR="00386019" w:rsidRDefault="00386019" w:rsidP="003860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Gandhi R. Toxoplasmosis in patients with HIV.</w:t>
      </w:r>
      <w:r w:rsidRPr="005C3F27">
        <w:rPr>
          <w:sz w:val="24"/>
          <w:szCs w:val="24"/>
          <w:lang w:val="en-US"/>
        </w:rPr>
        <w:t xml:space="preserve"> UpToDate, </w:t>
      </w:r>
      <w:r>
        <w:rPr>
          <w:sz w:val="24"/>
          <w:szCs w:val="24"/>
          <w:lang w:val="en-US"/>
        </w:rPr>
        <w:t>Sax</w:t>
      </w:r>
      <w:r w:rsidRPr="005C3F2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PE</w:t>
      </w:r>
      <w:r w:rsidRPr="005C3F27">
        <w:rPr>
          <w:sz w:val="24"/>
          <w:szCs w:val="24"/>
          <w:lang w:val="en-US"/>
        </w:rPr>
        <w:t xml:space="preserve"> (Ed), UpToDate, Waltham, MA, 2023.</w:t>
      </w:r>
    </w:p>
    <w:p w14:paraId="5253E7F0" w14:textId="4047A0B3" w:rsidR="005C3F27" w:rsidRPr="001B1C78" w:rsidRDefault="005C3F27" w:rsidP="005C3F27">
      <w:pPr>
        <w:rPr>
          <w:sz w:val="24"/>
          <w:szCs w:val="24"/>
          <w:lang w:val="en-US"/>
        </w:rPr>
      </w:pPr>
      <w:r w:rsidRPr="00182FC2">
        <w:rPr>
          <w:sz w:val="24"/>
          <w:szCs w:val="24"/>
        </w:rPr>
        <w:t xml:space="preserve">Hernandez AV, </w:t>
      </w:r>
      <w:proofErr w:type="spellStart"/>
      <w:r w:rsidRPr="00182FC2">
        <w:rPr>
          <w:sz w:val="24"/>
          <w:szCs w:val="24"/>
        </w:rPr>
        <w:t>Thota</w:t>
      </w:r>
      <w:proofErr w:type="spellEnd"/>
      <w:r w:rsidRPr="00182FC2">
        <w:rPr>
          <w:sz w:val="24"/>
          <w:szCs w:val="24"/>
        </w:rPr>
        <w:t xml:space="preserve"> P, Pellegrino D, et al. </w:t>
      </w:r>
      <w:r w:rsidRPr="00182FC2">
        <w:rPr>
          <w:sz w:val="24"/>
          <w:szCs w:val="24"/>
          <w:lang w:val="en-US"/>
        </w:rPr>
        <w:t xml:space="preserve">A systematic review and meta-analysis of the relative efficacy and safety of treatment regimens for HIV-associated cerebral toxoplasmosis: is trimethoprim-sulfamethoxazole a real option? </w:t>
      </w:r>
      <w:r w:rsidRPr="001B1C78">
        <w:rPr>
          <w:sz w:val="24"/>
          <w:szCs w:val="24"/>
          <w:lang w:val="en-US"/>
        </w:rPr>
        <w:t xml:space="preserve">HIV Med. 2016. </w:t>
      </w:r>
    </w:p>
    <w:p w14:paraId="223073F7" w14:textId="52CF83E1" w:rsidR="003554DD" w:rsidRDefault="00182FC2">
      <w:pPr>
        <w:rPr>
          <w:sz w:val="24"/>
          <w:szCs w:val="24"/>
          <w:lang w:val="en-US"/>
        </w:rPr>
      </w:pPr>
      <w:r w:rsidRPr="00182FC2">
        <w:rPr>
          <w:sz w:val="24"/>
          <w:szCs w:val="24"/>
          <w:lang w:val="en-US"/>
        </w:rPr>
        <w:t xml:space="preserve">Martino R, Bretagne S, </w:t>
      </w:r>
      <w:proofErr w:type="spellStart"/>
      <w:r w:rsidRPr="00182FC2">
        <w:rPr>
          <w:sz w:val="24"/>
          <w:szCs w:val="24"/>
          <w:lang w:val="en-US"/>
        </w:rPr>
        <w:t>Einsele</w:t>
      </w:r>
      <w:proofErr w:type="spellEnd"/>
      <w:r w:rsidRPr="00182FC2">
        <w:rPr>
          <w:sz w:val="24"/>
          <w:szCs w:val="24"/>
          <w:lang w:val="en-US"/>
        </w:rPr>
        <w:t xml:space="preserve"> H, et al. Early detection of Toxoplasma infection by molecular monitoring of Toxoplasma gondii in peripheral blood samples after allogeneic stem cell transplantation. Clin Infect Dis. 2005;40:67-78. </w:t>
      </w:r>
    </w:p>
    <w:p w14:paraId="73360921" w14:textId="70BF698C" w:rsidR="005C3F27" w:rsidRDefault="005C3F27" w:rsidP="005C3F27">
      <w:pPr>
        <w:rPr>
          <w:sz w:val="24"/>
          <w:szCs w:val="24"/>
          <w:lang w:val="en-US"/>
        </w:rPr>
      </w:pPr>
      <w:r w:rsidRPr="00182FC2">
        <w:rPr>
          <w:sz w:val="24"/>
          <w:szCs w:val="24"/>
          <w:lang w:val="en-US"/>
        </w:rPr>
        <w:t xml:space="preserve">Masur H, Brooks JT, Benson CA, Holmes KK, Pau AK, Kaplan JE. Prevention and treatment of opportunistic infections in HIV-infected adults and adolescents: Updated Guidelines from the Centers for Disease Control and Prevention, National Institutes of Health, and HIV Medicine Association of the Infectious Diseases Society of America. </w:t>
      </w:r>
      <w:r w:rsidRPr="005C3F27">
        <w:rPr>
          <w:sz w:val="24"/>
          <w:szCs w:val="24"/>
          <w:lang w:val="en-US"/>
        </w:rPr>
        <w:t>Clin Infect Dis. 2014;58:1308-1311</w:t>
      </w:r>
    </w:p>
    <w:p w14:paraId="5ACD1610" w14:textId="296C128E" w:rsidR="005C3F27" w:rsidRDefault="005C3F27" w:rsidP="005C3F27">
      <w:pPr>
        <w:rPr>
          <w:sz w:val="24"/>
          <w:szCs w:val="24"/>
          <w:lang w:val="en-US"/>
        </w:rPr>
      </w:pPr>
      <w:proofErr w:type="spellStart"/>
      <w:r w:rsidRPr="005C3F27">
        <w:rPr>
          <w:sz w:val="24"/>
          <w:szCs w:val="24"/>
          <w:lang w:val="en-US"/>
        </w:rPr>
        <w:t>Mendorf</w:t>
      </w:r>
      <w:proofErr w:type="spellEnd"/>
      <w:r w:rsidRPr="005C3F27">
        <w:rPr>
          <w:sz w:val="24"/>
          <w:szCs w:val="24"/>
          <w:lang w:val="en-US"/>
        </w:rPr>
        <w:t xml:space="preserve"> A, </w:t>
      </w:r>
      <w:proofErr w:type="spellStart"/>
      <w:r w:rsidRPr="005C3F27">
        <w:rPr>
          <w:sz w:val="24"/>
          <w:szCs w:val="24"/>
          <w:lang w:val="en-US"/>
        </w:rPr>
        <w:t>Klyuchnikov</w:t>
      </w:r>
      <w:proofErr w:type="spellEnd"/>
      <w:r w:rsidRPr="005C3F27">
        <w:rPr>
          <w:sz w:val="24"/>
          <w:szCs w:val="24"/>
          <w:lang w:val="en-US"/>
        </w:rPr>
        <w:t xml:space="preserve"> E, </w:t>
      </w:r>
      <w:proofErr w:type="spellStart"/>
      <w:r w:rsidRPr="005C3F27">
        <w:rPr>
          <w:sz w:val="24"/>
          <w:szCs w:val="24"/>
          <w:lang w:val="en-US"/>
        </w:rPr>
        <w:t>Langebrake</w:t>
      </w:r>
      <w:proofErr w:type="spellEnd"/>
      <w:r w:rsidRPr="005C3F27">
        <w:rPr>
          <w:sz w:val="24"/>
          <w:szCs w:val="24"/>
          <w:lang w:val="en-US"/>
        </w:rPr>
        <w:t xml:space="preserve"> C, et al. </w:t>
      </w:r>
      <w:r w:rsidRPr="00182FC2">
        <w:rPr>
          <w:sz w:val="24"/>
          <w:szCs w:val="24"/>
          <w:lang w:val="en-US"/>
        </w:rPr>
        <w:t xml:space="preserve">Atovaquone for Prophylaxis of Toxoplasmosis after Allogeneic Hematopoietic Stem Cell Transplantation. Acta </w:t>
      </w:r>
      <w:proofErr w:type="spellStart"/>
      <w:r w:rsidRPr="00182FC2">
        <w:rPr>
          <w:sz w:val="24"/>
          <w:szCs w:val="24"/>
          <w:lang w:val="en-US"/>
        </w:rPr>
        <w:t>Haematol</w:t>
      </w:r>
      <w:proofErr w:type="spellEnd"/>
      <w:r w:rsidRPr="00182FC2">
        <w:rPr>
          <w:sz w:val="24"/>
          <w:szCs w:val="24"/>
          <w:lang w:val="en-US"/>
        </w:rPr>
        <w:t xml:space="preserve">. 2015;134:146-154. </w:t>
      </w:r>
    </w:p>
    <w:p w14:paraId="3526BE49" w14:textId="73CD9FBB" w:rsidR="003554DD" w:rsidRDefault="00182FC2">
      <w:pPr>
        <w:rPr>
          <w:sz w:val="24"/>
          <w:szCs w:val="24"/>
          <w:lang w:val="en-US"/>
        </w:rPr>
      </w:pPr>
      <w:r w:rsidRPr="007C5E52">
        <w:rPr>
          <w:sz w:val="24"/>
          <w:szCs w:val="24"/>
          <w:lang w:val="en-US"/>
        </w:rPr>
        <w:lastRenderedPageBreak/>
        <w:t xml:space="preserve">Robert-Gangneux F, Sterkers Y, Yera H, et al. </w:t>
      </w:r>
      <w:r w:rsidRPr="00182FC2">
        <w:rPr>
          <w:sz w:val="24"/>
          <w:szCs w:val="24"/>
          <w:lang w:val="en-US"/>
        </w:rPr>
        <w:t xml:space="preserve">Molecular diagnosis of toxoplasmosis in immunocompromised patients: a 3-year multicenter retrospective study. J Clin Microbiol. 2015;53:1677-1684. </w:t>
      </w:r>
    </w:p>
    <w:p w14:paraId="124F6C64" w14:textId="779FB77D" w:rsidR="003554DD" w:rsidRDefault="00182FC2">
      <w:pPr>
        <w:rPr>
          <w:sz w:val="24"/>
          <w:szCs w:val="24"/>
          <w:lang w:val="en-US"/>
        </w:rPr>
      </w:pPr>
      <w:proofErr w:type="spellStart"/>
      <w:r w:rsidRPr="00182FC2">
        <w:rPr>
          <w:sz w:val="24"/>
          <w:szCs w:val="24"/>
          <w:lang w:val="en-US"/>
        </w:rPr>
        <w:t>Tomblyn</w:t>
      </w:r>
      <w:proofErr w:type="spellEnd"/>
      <w:r w:rsidRPr="00182FC2">
        <w:rPr>
          <w:sz w:val="24"/>
          <w:szCs w:val="24"/>
          <w:lang w:val="en-US"/>
        </w:rPr>
        <w:t xml:space="preserve"> M, Chiller T, </w:t>
      </w:r>
      <w:proofErr w:type="spellStart"/>
      <w:r w:rsidRPr="00182FC2">
        <w:rPr>
          <w:sz w:val="24"/>
          <w:szCs w:val="24"/>
          <w:lang w:val="en-US"/>
        </w:rPr>
        <w:t>Einsele</w:t>
      </w:r>
      <w:proofErr w:type="spellEnd"/>
      <w:r w:rsidRPr="00182FC2">
        <w:rPr>
          <w:sz w:val="24"/>
          <w:szCs w:val="24"/>
          <w:lang w:val="en-US"/>
        </w:rPr>
        <w:t xml:space="preserve"> H, et al. Guidelines for preventing infectious complications among hematopoietic cell transplantation recipients: a global perspective. Biol Blood Marrow Transplant. 2009;15:1143-1238. </w:t>
      </w:r>
    </w:p>
    <w:p w14:paraId="7A5D6079" w14:textId="77777777" w:rsidR="00386019" w:rsidRPr="005C3F27" w:rsidRDefault="00386019">
      <w:pPr>
        <w:rPr>
          <w:sz w:val="24"/>
          <w:szCs w:val="24"/>
          <w:lang w:val="en-US"/>
        </w:rPr>
      </w:pPr>
    </w:p>
    <w:p w14:paraId="736A54A2" w14:textId="77777777" w:rsidR="00237CBF" w:rsidRPr="001B1C78" w:rsidRDefault="00237CBF">
      <w:pPr>
        <w:rPr>
          <w:sz w:val="24"/>
          <w:szCs w:val="24"/>
        </w:rPr>
      </w:pPr>
    </w:p>
    <w:sectPr w:rsidR="00237CBF" w:rsidRPr="001B1C78" w:rsidSect="00A05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01D77"/>
    <w:multiLevelType w:val="hybridMultilevel"/>
    <w:tmpl w:val="116EFA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9387E"/>
    <w:multiLevelType w:val="hybridMultilevel"/>
    <w:tmpl w:val="3C722A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3430">
    <w:abstractNumId w:val="0"/>
  </w:num>
  <w:num w:numId="2" w16cid:durableId="40981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C2"/>
    <w:rsid w:val="000E79A0"/>
    <w:rsid w:val="000F71D3"/>
    <w:rsid w:val="00182FC2"/>
    <w:rsid w:val="001B1C78"/>
    <w:rsid w:val="001B2D6E"/>
    <w:rsid w:val="001F3850"/>
    <w:rsid w:val="001F6126"/>
    <w:rsid w:val="00211062"/>
    <w:rsid w:val="00237CBF"/>
    <w:rsid w:val="002839CE"/>
    <w:rsid w:val="002979B7"/>
    <w:rsid w:val="002B70BE"/>
    <w:rsid w:val="002D7238"/>
    <w:rsid w:val="003554DD"/>
    <w:rsid w:val="00386019"/>
    <w:rsid w:val="00472742"/>
    <w:rsid w:val="005173B5"/>
    <w:rsid w:val="005644C3"/>
    <w:rsid w:val="005A4389"/>
    <w:rsid w:val="005A6F90"/>
    <w:rsid w:val="005C3F27"/>
    <w:rsid w:val="005D024B"/>
    <w:rsid w:val="005E21DD"/>
    <w:rsid w:val="00655363"/>
    <w:rsid w:val="00680A6F"/>
    <w:rsid w:val="0068338E"/>
    <w:rsid w:val="006A39FC"/>
    <w:rsid w:val="00701F26"/>
    <w:rsid w:val="00726CA5"/>
    <w:rsid w:val="00743591"/>
    <w:rsid w:val="00791677"/>
    <w:rsid w:val="007956F2"/>
    <w:rsid w:val="007C5E52"/>
    <w:rsid w:val="008003C5"/>
    <w:rsid w:val="008067E6"/>
    <w:rsid w:val="00832883"/>
    <w:rsid w:val="00875611"/>
    <w:rsid w:val="008E7881"/>
    <w:rsid w:val="009547E2"/>
    <w:rsid w:val="00A05217"/>
    <w:rsid w:val="00A24AC7"/>
    <w:rsid w:val="00A93C44"/>
    <w:rsid w:val="00AD3472"/>
    <w:rsid w:val="00B41F6B"/>
    <w:rsid w:val="00B473FD"/>
    <w:rsid w:val="00C329B2"/>
    <w:rsid w:val="00C41F60"/>
    <w:rsid w:val="00C86DA4"/>
    <w:rsid w:val="00CE2F64"/>
    <w:rsid w:val="00D6573D"/>
    <w:rsid w:val="00E23061"/>
    <w:rsid w:val="00E703CB"/>
    <w:rsid w:val="00F205A1"/>
    <w:rsid w:val="00F80F08"/>
    <w:rsid w:val="00FA73CC"/>
    <w:rsid w:val="00F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B84B"/>
  <w15:chartTrackingRefBased/>
  <w15:docId w15:val="{26FB3959-98D9-4E1D-BE9C-A56E002E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1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2FC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205A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205A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839C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B70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B70B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B70B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B70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B70B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32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28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37CBF"/>
    <w:pPr>
      <w:spacing w:after="0" w:line="240" w:lineRule="auto"/>
    </w:pPr>
  </w:style>
  <w:style w:type="character" w:customStyle="1" w:styleId="contentpasted0">
    <w:name w:val="contentpasted0"/>
    <w:basedOn w:val="Standardstycketeckensnitt"/>
    <w:rsid w:val="0023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ebmt.org/education/ebmt-handboo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acs.sanfordguide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DB9D61EA19D438D7C21A13E8B36D4" ma:contentTypeVersion="11" ma:contentTypeDescription="Skapa ett nytt dokument." ma:contentTypeScope="" ma:versionID="9c48164c904fef8b31a96b4ef49a487b">
  <xsd:schema xmlns:xsd="http://www.w3.org/2001/XMLSchema" xmlns:xs="http://www.w3.org/2001/XMLSchema" xmlns:p="http://schemas.microsoft.com/office/2006/metadata/properties" xmlns:ns3="e4cbf5cf-3dd3-4902-85bd-3d8ca4a2faa6" targetNamespace="http://schemas.microsoft.com/office/2006/metadata/properties" ma:root="true" ma:fieldsID="1414395edca2fd25e6b6cb213f1ecacc" ns3:_="">
    <xsd:import namespace="e4cbf5cf-3dd3-4902-85bd-3d8ca4a2fa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f5cf-3dd3-4902-85bd-3d8ca4a2f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B189A-BD72-413B-9E01-6EC9C2E22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f5cf-3dd3-4902-85bd-3d8ca4a2f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79E5C-CE1D-4F2E-8813-BE945984A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FE46A-ED04-4719-A2BD-EEAE92FD7B09}">
  <ds:schemaRefs>
    <ds:schemaRef ds:uri="http://schemas.openxmlformats.org/package/2006/metadata/core-properties"/>
    <ds:schemaRef ds:uri="e4cbf5cf-3dd3-4902-85bd-3d8ca4a2faa6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49BAAC0-F3DD-4B56-9E4C-F4F5F60C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1562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Blennow</dc:creator>
  <cp:keywords/>
  <dc:description/>
  <cp:lastModifiedBy>Ola Blennow</cp:lastModifiedBy>
  <cp:revision>3</cp:revision>
  <dcterms:created xsi:type="dcterms:W3CDTF">2023-04-28T09:15:00Z</dcterms:created>
  <dcterms:modified xsi:type="dcterms:W3CDTF">2023-04-28T09:19:00Z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0x010100370DB9D61EA19D438D7C21A13E8B36D4</vt:lpwstr>
  </property>
</Properties>
</file>